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" ContentType="image/tiff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1CB79A" w14:textId="77777777" w:rsidR="009D6864" w:rsidRDefault="00DB0E14">
      <w:pPr>
        <w:pStyle w:val="SupplementaryMaterial"/>
        <w:rPr>
          <w:b w:val="0"/>
        </w:rPr>
      </w:pPr>
      <w:bookmarkStart w:id="0" w:name="_GoBack"/>
      <w:bookmarkEnd w:id="0"/>
      <w:r>
        <w:t>Supplementary Material</w:t>
      </w:r>
    </w:p>
    <w:p w14:paraId="78BC6170" w14:textId="77777777" w:rsidR="009D6864" w:rsidRDefault="00DB0E14">
      <w:pPr>
        <w:keepNext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Supplementary Table 1.</w:t>
      </w:r>
      <w:r>
        <w:rPr>
          <w:rFonts w:cs="Times New Roman"/>
          <w:szCs w:val="24"/>
        </w:rPr>
        <w:t xml:space="preserve"> </w:t>
      </w:r>
      <w:r>
        <w:rPr>
          <w:rFonts w:cs="Times New Roman"/>
          <w:szCs w:val="24"/>
          <w:lang w:val="en-GB"/>
        </w:rPr>
        <w:t>Data gathering sources.</w:t>
      </w:r>
    </w:p>
    <w:tbl>
      <w:tblPr>
        <w:tblStyle w:val="Tabelacomgrelha1"/>
        <w:tblW w:w="8364" w:type="dxa"/>
        <w:tblLayout w:type="fixed"/>
        <w:tblLook w:val="04A0" w:firstRow="1" w:lastRow="0" w:firstColumn="1" w:lastColumn="0" w:noHBand="0" w:noVBand="1"/>
      </w:tblPr>
      <w:tblGrid>
        <w:gridCol w:w="8364"/>
      </w:tblGrid>
      <w:tr w:rsidR="009D6864" w14:paraId="1F21AE68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6DF3055D" w14:textId="77777777" w:rsidR="009D6864" w:rsidRDefault="00DB0E14">
            <w:pPr>
              <w:widowControl w:val="0"/>
              <w:numPr>
                <w:ilvl w:val="0"/>
                <w:numId w:val="3"/>
              </w:numPr>
              <w:spacing w:before="0" w:after="0" w:line="360" w:lineRule="auto"/>
              <w:jc w:val="both"/>
              <w:rPr>
                <w:b/>
                <w:szCs w:val="24"/>
                <w:lang w:val="en-GB"/>
              </w:rPr>
            </w:pPr>
            <w:r>
              <w:rPr>
                <w:rFonts w:eastAsia="Calibri" w:cs="Times New Roman"/>
                <w:b/>
                <w:szCs w:val="24"/>
                <w:lang w:val="en-GB"/>
              </w:rPr>
              <w:t>Source/Reference</w:t>
            </w:r>
          </w:p>
        </w:tc>
      </w:tr>
      <w:tr w:rsidR="009D6864" w14:paraId="4C5F2781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6A2C9BBA" w14:textId="77777777" w:rsidR="009D6864" w:rsidRDefault="00DB0E14">
            <w:pPr>
              <w:widowControl w:val="0"/>
              <w:numPr>
                <w:ilvl w:val="0"/>
                <w:numId w:val="3"/>
              </w:numPr>
              <w:spacing w:before="0" w:after="0" w:line="360" w:lineRule="auto"/>
              <w:jc w:val="both"/>
              <w:rPr>
                <w:szCs w:val="24"/>
                <w:lang w:val="en-GB"/>
              </w:rPr>
            </w:pPr>
            <w:r>
              <w:rPr>
                <w:rFonts w:eastAsia="Calibri" w:cs="Times New Roman"/>
                <w:szCs w:val="24"/>
                <w:lang w:val="en-GB"/>
              </w:rPr>
              <w:t>GBIF | https://www.gbif.org/ (September 24</w:t>
            </w:r>
            <w:r>
              <w:rPr>
                <w:rFonts w:eastAsia="Calibri" w:cs="Times New Roman"/>
                <w:szCs w:val="24"/>
                <w:vertAlign w:val="superscript"/>
                <w:lang w:val="en-GB"/>
              </w:rPr>
              <w:t>th</w:t>
            </w:r>
            <w:r>
              <w:rPr>
                <w:rFonts w:eastAsia="Calibri" w:cs="Times New Roman"/>
                <w:szCs w:val="24"/>
                <w:lang w:val="en-GB"/>
              </w:rPr>
              <w:t xml:space="preserve"> 2020)</w:t>
            </w:r>
          </w:p>
        </w:tc>
      </w:tr>
      <w:tr w:rsidR="009D6864" w14:paraId="0D2454F2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797B6025" w14:textId="77777777" w:rsidR="009D6864" w:rsidRDefault="00DB0E14">
            <w:pPr>
              <w:widowControl w:val="0"/>
              <w:numPr>
                <w:ilvl w:val="0"/>
                <w:numId w:val="3"/>
              </w:numPr>
              <w:spacing w:before="0" w:after="0" w:line="360" w:lineRule="auto"/>
              <w:jc w:val="both"/>
              <w:rPr>
                <w:szCs w:val="24"/>
                <w:lang w:val="en-GB"/>
              </w:rPr>
            </w:pPr>
            <w:r>
              <w:rPr>
                <w:rFonts w:eastAsia="Calibri" w:cs="Times New Roman"/>
                <w:szCs w:val="24"/>
                <w:lang w:val="en-GB"/>
              </w:rPr>
              <w:t>iNaturalist | https://www.inaturalist.org/observations (September 24</w:t>
            </w:r>
            <w:r>
              <w:rPr>
                <w:rFonts w:eastAsia="Calibri" w:cs="Times New Roman"/>
                <w:szCs w:val="24"/>
                <w:vertAlign w:val="superscript"/>
                <w:lang w:val="en-GB"/>
              </w:rPr>
              <w:t>th</w:t>
            </w:r>
            <w:r>
              <w:rPr>
                <w:rFonts w:eastAsia="Calibri" w:cs="Times New Roman"/>
                <w:szCs w:val="24"/>
                <w:lang w:val="en-GB"/>
              </w:rPr>
              <w:t xml:space="preserve"> 2020)</w:t>
            </w:r>
          </w:p>
        </w:tc>
      </w:tr>
      <w:tr w:rsidR="009D6864" w14:paraId="0EA98D8F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45DB71CD" w14:textId="77777777" w:rsidR="009D6864" w:rsidRDefault="00DB0E14">
            <w:pPr>
              <w:widowControl w:val="0"/>
              <w:spacing w:before="0" w:after="0" w:line="360" w:lineRule="auto"/>
              <w:rPr>
                <w:szCs w:val="24"/>
                <w:lang w:val="en-GB"/>
              </w:rPr>
            </w:pPr>
            <w:r>
              <w:rPr>
                <w:rFonts w:eastAsia="Calibri" w:cs="Times New Roman"/>
                <w:szCs w:val="24"/>
                <w:lang w:val="en-GB"/>
              </w:rPr>
              <w:t>Silene-Flore | http://flore.silene.eu/index.php?cont=accueil (April 22</w:t>
            </w:r>
            <w:r>
              <w:rPr>
                <w:rFonts w:eastAsia="Calibri" w:cs="Times New Roman"/>
                <w:szCs w:val="24"/>
                <w:vertAlign w:val="superscript"/>
                <w:lang w:val="en-GB"/>
              </w:rPr>
              <w:t>nd</w:t>
            </w:r>
            <w:r>
              <w:rPr>
                <w:rFonts w:eastAsia="Calibri" w:cs="Times New Roman"/>
                <w:szCs w:val="24"/>
                <w:lang w:val="en-GB"/>
              </w:rPr>
              <w:t xml:space="preserve"> 2021)</w:t>
            </w:r>
          </w:p>
        </w:tc>
      </w:tr>
      <w:tr w:rsidR="009D6864" w:rsidRPr="001415CE" w14:paraId="6920AA99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19A85063" w14:textId="77777777" w:rsidR="009D6864" w:rsidRPr="00DB0E14" w:rsidRDefault="00DB0E14">
            <w:pPr>
              <w:widowControl w:val="0"/>
              <w:spacing w:before="0" w:after="0" w:line="360" w:lineRule="auto"/>
              <w:rPr>
                <w:szCs w:val="24"/>
              </w:rPr>
            </w:pPr>
            <w:r>
              <w:rPr>
                <w:rFonts w:eastAsia="Calibri" w:cs="Times New Roman"/>
                <w:szCs w:val="24"/>
              </w:rPr>
              <w:t>Tela Botanica | https://www.tela-botanica.org/</w:t>
            </w:r>
          </w:p>
        </w:tc>
      </w:tr>
      <w:tr w:rsidR="009D6864" w14:paraId="47012C8F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253D981C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szCs w:val="24"/>
              </w:rPr>
            </w:pPr>
            <w:r>
              <w:rPr>
                <w:rFonts w:eastAsia="Calibri" w:cs="Times New Roman"/>
                <w:szCs w:val="24"/>
                <w:lang w:val="en-GB"/>
              </w:rPr>
              <w:t xml:space="preserve">Narbona et al. 2010 </w:t>
            </w:r>
            <w:r>
              <w:rPr>
                <w:szCs w:val="22"/>
                <w:lang w:val="en-US"/>
              </w:rPr>
              <w:fldChar w:fldCharType="begin"/>
            </w:r>
            <w:r>
              <w:rPr>
                <w:rFonts w:eastAsia="Calibri" w:cs="Times New Roman"/>
                <w:szCs w:val="24"/>
                <w:lang w:val="en-GB"/>
              </w:rPr>
              <w:instrText>ADDIN EN.CITE &lt;EndNote&gt;&lt;Cite&gt;&lt;Author&gt;Narbona&lt;/Author&gt;&lt;Year&gt;2010&lt;/Year&gt;&lt;RecNum&gt;16141&lt;/RecNum&gt;&lt;DisplayText&gt;(Narbona et al., 2010)&lt;/DisplayText&gt;&lt;record&gt;&lt;rec-number&gt;16141&lt;/rec-number&gt;&lt;foreign-keys&gt;&lt;key app="EN" db-id="vaez5ezpgvp9foeft21pzd9sdvfz20xt0wav"&gt;16141&lt;/key&gt;&lt;/foreign-keys&gt;&lt;ref-type name="Journal Article"&gt;17&lt;/ref-type&gt;&lt;contributors&gt;&lt;authors&gt;&lt;author&gt;Narbona, Eduardo&lt;/author&gt;&lt;author&gt;Guzmán, Beatriz&lt;/author&gt;&lt;author&gt;Arroyo, Juan&lt;/author&gt;&lt;author&gt;Vargas, Pablo&lt;/author&gt;&lt;/authors&gt;&lt;/contributors&gt;&lt;titles&gt;&lt;title&gt;&lt;style face="normal" font="default" size="100%"&gt;Why are fruit traits of &lt;/style&gt;&lt;style face="italic" font="default" size="100%"&gt;Cistus ladanifer&lt;/style&gt;&lt;style face="normal" font="default" size="100%"&gt; (Cistaceae) so variable: A multi-level study across the western Mediterranean region&lt;/style&gt;&lt;/title&gt;&lt;secondary-title&gt;Perspectives in Plant Ecology, Evolution and Systematics&lt;/secondary-title&gt;&lt;short-title&gt;Why are fruit traits of Cistus ladanifer (Cistaceae) so variable&lt;/short-title&gt;&lt;/titles&gt;&lt;periodical&gt;&lt;full-title&gt;Perspectives in Plant Ecology, Evolution and Systematics&lt;/full-title&gt;&lt;abbr-1&gt;Perspect Plant Ecol Evol Syst&lt;/abbr-1&gt;&lt;abbr-2&gt;Perspect. Plant Ecol. Evol. Syst.&lt;/abbr-2&gt;&lt;/periodical&gt;&lt;pages&gt;305-315&lt;/pages&gt;&lt;volume&gt;12&lt;/volume&gt;&lt;number&gt;4&lt;/number&gt;&lt;dates&gt;&lt;year&gt;2010&lt;/year&gt;&lt;pub-dates&gt;&lt;date&gt;11/2010&lt;/date&gt;&lt;/pub-dates&gt;&lt;/dates&gt;&lt;isbn&gt;14338319&lt;/isbn&gt;&lt;urls&gt;&lt;/urls&gt;&lt;electronic-resource-num&gt;10.1016/j.ppees.2010.06.001&lt;/electronic-resource-num&gt;&lt;remote-database-name&gt;DOI.org (Crossref)&lt;/remote-database-name&gt;&lt;language&gt;en&lt;/language&gt;&lt;access-date&gt;2021-09-29 13:30:36&lt;/access-date&gt;&lt;/record&gt;&lt;/Cite&gt;&lt;/EndNote&gt;</w:instrText>
            </w:r>
            <w:r>
              <w:rPr>
                <w:rFonts w:eastAsia="Calibri" w:cs="Times New Roman"/>
                <w:szCs w:val="24"/>
                <w:lang w:val="en-GB"/>
              </w:rPr>
              <w:fldChar w:fldCharType="separate"/>
            </w:r>
            <w:r>
              <w:rPr>
                <w:rFonts w:eastAsia="Calibri" w:cs="Times New Roman"/>
                <w:szCs w:val="24"/>
                <w:lang w:val="en-GB"/>
              </w:rPr>
              <w:t>(</w:t>
            </w:r>
            <w:hyperlink w:anchor="_ENREF_21" w:tgtFrame="Narbona, 2010 #16141">
              <w:r>
                <w:rPr>
                  <w:rFonts w:eastAsia="Calibri" w:cs="Times New Roman"/>
                  <w:szCs w:val="24"/>
                  <w:lang w:val="en-GB"/>
                </w:rPr>
                <w:t>Narbona et al., 2010</w:t>
              </w:r>
            </w:hyperlink>
            <w:r>
              <w:rPr>
                <w:rFonts w:eastAsia="Calibri" w:cs="Times New Roman"/>
                <w:szCs w:val="24"/>
                <w:lang w:val="en-GB"/>
              </w:rPr>
              <w:t>)</w:t>
            </w:r>
            <w:r>
              <w:rPr>
                <w:rFonts w:eastAsia="Calibri" w:cs="Times New Roman"/>
                <w:szCs w:val="24"/>
                <w:lang w:val="en-GB"/>
              </w:rPr>
              <w:fldChar w:fldCharType="end"/>
            </w:r>
          </w:p>
        </w:tc>
      </w:tr>
      <w:tr w:rsidR="009D6864" w14:paraId="7E2EB273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1317413E" w14:textId="77777777" w:rsidR="009D6864" w:rsidRDefault="00DB0E14">
            <w:pPr>
              <w:widowControl w:val="0"/>
              <w:numPr>
                <w:ilvl w:val="0"/>
                <w:numId w:val="3"/>
              </w:numPr>
              <w:spacing w:before="0" w:after="0" w:line="360" w:lineRule="auto"/>
              <w:jc w:val="both"/>
              <w:rPr>
                <w:szCs w:val="24"/>
                <w:lang w:val="en-GB"/>
              </w:rPr>
            </w:pPr>
            <w:r>
              <w:rPr>
                <w:rFonts w:eastAsia="Calibri" w:cs="Times New Roman"/>
                <w:szCs w:val="24"/>
                <w:lang w:val="en-GB"/>
              </w:rPr>
              <w:t xml:space="preserve">Quintela-Sabarís et al. 2011 </w:t>
            </w:r>
            <w:r>
              <w:rPr>
                <w:szCs w:val="22"/>
                <w:lang w:val="en-US"/>
              </w:rPr>
              <w:fldChar w:fldCharType="begin"/>
            </w:r>
            <w:r>
              <w:rPr>
                <w:rFonts w:eastAsia="Calibri" w:cs="Times New Roman"/>
                <w:szCs w:val="24"/>
                <w:lang w:val="en-GB"/>
              </w:rPr>
              <w:instrText>ADDIN EN.CITE &lt;EndNote&gt;&lt;Cite&gt;&lt;Author&gt;Quintela-Sabarís&lt;/Author&gt;&lt;Year&gt;2011&lt;/Year&gt;&lt;RecNum&gt;14909&lt;/RecNum&gt;&lt;DisplayText&gt;(Quintela-Sabarís et al., 2011)&lt;/DisplayText&gt;&lt;record&gt;&lt;rec-number&gt;14909&lt;/rec-number&gt;&lt;foreign-keys&gt;&lt;key app="EN" db-id="vaez5ezpgvp9foeft21pzd9sdvfz20xt0wav"&gt;14909&lt;/key&gt;&lt;/foreign-keys&gt;&lt;ref-type name="Journal Article"&gt;17&lt;/ref-type&gt;&lt;contributors&gt;&lt;authors&gt;&lt;author&gt;Quintela-Sabarís, C.&lt;/author&gt;&lt;author&gt;Vendramin, G. G.&lt;/author&gt;&lt;author&gt;Castro-Fernández, D.&lt;/author&gt;&lt;author&gt;Isabel Fraga, M.&lt;/author&gt;&lt;/authors&gt;&lt;/contributors&gt;&lt;titles&gt;&lt;title&gt;&lt;style face="normal" font="default" size="100%"&gt;Chloroplast DNA phylogeography of the shrub &lt;/style&gt;&lt;style face="italic" font="default" size="100%"&gt;Cistus ladanifer&lt;/style&gt;&lt;style face="normal" font="default" size="100%"&gt; L. (Cistaceae) in the highly diverse Western Mediterranean region&lt;/style&gt;&lt;/title&gt;&lt;secondary-title&gt;Plant Biology&lt;/secondary-title&gt;&lt;/titles&gt;&lt;periodical&gt;&lt;full-title&gt;Plant Biology&lt;/full-title&gt;&lt;abbr-1&gt;Plant Biol&lt;/abbr-1&gt;&lt;abbr-2&gt;Plant Biol.&lt;/abbr-2&gt;&lt;/periodical&gt;&lt;pages&gt;391-400&lt;/pages&gt;&lt;volume&gt;13&lt;/volume&gt;&lt;number&gt;2&lt;/number&gt;&lt;dates&gt;&lt;year&gt;2011&lt;/year&gt;&lt;/dates&gt;&lt;publisher&gt;Blackwell Publishing Ltd&lt;/publisher&gt;&lt;isbn&gt;1438-8677&lt;/isbn&gt;&lt;urls&gt;&lt;related-urls&gt;&lt;url&gt;http://dx.doi.org/10.1111/j.1438-8677.2010.00371.x&lt;/url&gt;&lt;/related-urls&gt;&lt;/urls&gt;&lt;electronic-resource-num&gt;10.1111/j.1438-8677.2010.00371.x&lt;/electronic-resource-num&gt;&lt;/record&gt;&lt;/Cite&gt;&lt;/EndNote&gt;</w:instrText>
            </w:r>
            <w:r>
              <w:rPr>
                <w:rFonts w:eastAsia="Calibri" w:cs="Times New Roman"/>
                <w:szCs w:val="24"/>
                <w:lang w:val="en-GB"/>
              </w:rPr>
              <w:fldChar w:fldCharType="separate"/>
            </w:r>
            <w:r>
              <w:rPr>
                <w:rFonts w:eastAsia="Calibri" w:cs="Times New Roman"/>
                <w:szCs w:val="24"/>
                <w:lang w:val="en-GB"/>
              </w:rPr>
              <w:t>(</w:t>
            </w:r>
            <w:hyperlink w:anchor="_ENREF_24" w:tgtFrame="Quintela-Sabarís, 2011 #14909">
              <w:r>
                <w:rPr>
                  <w:rFonts w:eastAsia="Calibri" w:cs="Times New Roman"/>
                  <w:szCs w:val="24"/>
                  <w:lang w:val="en-GB"/>
                </w:rPr>
                <w:t>Quintela-Sabarís et al., 2011</w:t>
              </w:r>
            </w:hyperlink>
            <w:r>
              <w:rPr>
                <w:rFonts w:eastAsia="Calibri" w:cs="Times New Roman"/>
                <w:szCs w:val="24"/>
                <w:lang w:val="en-GB"/>
              </w:rPr>
              <w:t>)</w:t>
            </w:r>
            <w:r>
              <w:rPr>
                <w:rFonts w:eastAsia="Calibri" w:cs="Times New Roman"/>
                <w:szCs w:val="24"/>
                <w:lang w:val="en-GB"/>
              </w:rPr>
              <w:fldChar w:fldCharType="end"/>
            </w:r>
          </w:p>
        </w:tc>
      </w:tr>
      <w:tr w:rsidR="009D6864" w14:paraId="49F2B7BA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6080D831" w14:textId="77777777" w:rsidR="009D6864" w:rsidRDefault="00DB0E14">
            <w:pPr>
              <w:widowControl w:val="0"/>
              <w:numPr>
                <w:ilvl w:val="0"/>
                <w:numId w:val="3"/>
              </w:numPr>
              <w:spacing w:before="0" w:after="0" w:line="360" w:lineRule="auto"/>
              <w:jc w:val="both"/>
              <w:rPr>
                <w:szCs w:val="24"/>
                <w:lang w:val="en-GB"/>
              </w:rPr>
            </w:pPr>
            <w:r>
              <w:rPr>
                <w:rFonts w:eastAsia="Calibri" w:cs="Times New Roman"/>
                <w:szCs w:val="24"/>
                <w:lang w:val="en-GB"/>
              </w:rPr>
              <w:t xml:space="preserve">Henaoui 2013 </w:t>
            </w:r>
            <w:r>
              <w:rPr>
                <w:szCs w:val="22"/>
                <w:lang w:val="en-US"/>
              </w:rPr>
              <w:fldChar w:fldCharType="begin"/>
            </w:r>
            <w:r>
              <w:rPr>
                <w:rFonts w:eastAsia="Calibri" w:cs="Times New Roman"/>
                <w:szCs w:val="24"/>
                <w:lang w:val="en-GB"/>
              </w:rPr>
              <w:instrText>ADDIN EN.CITE &lt;EndNote&gt;&lt;Cite&gt;&lt;Author&gt;Henaoui&lt;/Author&gt;&lt;Year&gt;2013&lt;/Year&gt;&lt;RecNum&gt;15993&lt;/RecNum&gt;&lt;DisplayText&gt;(Henaoui, 2013)&lt;/DisplayText&gt;&lt;record&gt;&lt;rec-number&gt;15993&lt;/rec-number&gt;&lt;foreign-keys&gt;&lt;key app="EN" db-id="vaez5ezpgvp9foeft21pzd9sdvfz20xt0wav"&gt;15993&lt;/key&gt;&lt;/foreign-keys&gt;&lt;ref-type name="Thesis"&gt;32&lt;/ref-type&gt;&lt;contributors&gt;&lt;authors&gt;&lt;author&gt;Henaoui, Ismaïl El-Amine&lt;/author&gt;&lt;/authors&gt;&lt;/contributors&gt;&lt;titles&gt;&lt;title&gt;Les Cistacées dans la région de Tlemcen (Nord-Ouest algérien) : aspects inflammabilité, combustibilité et cartographie&lt;/title&gt;&lt;/titles&gt;&lt;pages&gt;135&lt;/pages&gt;&lt;dates&gt;&lt;year&gt;2013&lt;/year&gt;&lt;pub-dates&gt;&lt;date&gt;2013&lt;/date&gt;&lt;/pub-dates&gt;&lt;/dates&gt;&lt;publisher&gt;Université de Tlemcen&lt;/publisher&gt;&lt;urls&gt;&lt;pdf-urls&gt;&lt;url&gt;files/299/Henaoui - Je dédie ce travail A mes chers parents et mes che.pdf&lt;/url&gt;&lt;/pdf-urls&gt;&lt;/urls&gt;&lt;remote-database-provider&gt;Zotero&lt;/remote-database-provider&gt;&lt;language&gt;fr&lt;/language&gt;&lt;/record&gt;&lt;/Cite&gt;&lt;/EndNote&gt;</w:instrText>
            </w:r>
            <w:r>
              <w:rPr>
                <w:rFonts w:eastAsia="Calibri" w:cs="Times New Roman"/>
                <w:szCs w:val="24"/>
                <w:lang w:val="en-GB"/>
              </w:rPr>
              <w:fldChar w:fldCharType="separate"/>
            </w:r>
            <w:r>
              <w:rPr>
                <w:rFonts w:eastAsia="Calibri" w:cs="Times New Roman"/>
                <w:szCs w:val="24"/>
                <w:lang w:val="en-GB"/>
              </w:rPr>
              <w:t>(</w:t>
            </w:r>
            <w:hyperlink w:anchor="_ENREF_12" w:tgtFrame="Henaoui, 2013 #15993">
              <w:r>
                <w:rPr>
                  <w:rFonts w:eastAsia="Calibri" w:cs="Times New Roman"/>
                  <w:szCs w:val="24"/>
                  <w:lang w:val="en-GB"/>
                </w:rPr>
                <w:t>Henaoui, 2013</w:t>
              </w:r>
            </w:hyperlink>
            <w:r>
              <w:rPr>
                <w:rFonts w:eastAsia="Calibri" w:cs="Times New Roman"/>
                <w:szCs w:val="24"/>
                <w:lang w:val="en-GB"/>
              </w:rPr>
              <w:t>)</w:t>
            </w:r>
            <w:r>
              <w:rPr>
                <w:rFonts w:eastAsia="Calibri" w:cs="Times New Roman"/>
                <w:szCs w:val="24"/>
                <w:lang w:val="en-GB"/>
              </w:rPr>
              <w:fldChar w:fldCharType="end"/>
            </w:r>
          </w:p>
        </w:tc>
      </w:tr>
      <w:tr w:rsidR="009D6864" w14:paraId="4DAB9615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7F7F31EF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szCs w:val="24"/>
              </w:rPr>
            </w:pPr>
            <w:r>
              <w:rPr>
                <w:rFonts w:eastAsia="Calibri" w:cs="Times New Roman"/>
                <w:szCs w:val="24"/>
                <w:lang w:val="en-GB"/>
              </w:rPr>
              <w:t xml:space="preserve">Aparicio et al. 2017 </w:t>
            </w:r>
            <w:r>
              <w:rPr>
                <w:szCs w:val="22"/>
                <w:lang w:val="en-US"/>
              </w:rPr>
              <w:fldChar w:fldCharType="begin"/>
            </w:r>
            <w:r>
              <w:rPr>
                <w:rFonts w:eastAsia="Calibri" w:cs="Times New Roman"/>
                <w:szCs w:val="24"/>
                <w:lang w:val="en-GB"/>
              </w:rPr>
              <w:instrText>ADDIN EN.CITE &lt;EndNote&gt;&lt;Cite&gt;&lt;Author&gt;Aparicio&lt;/Author&gt;&lt;Year&gt;2017&lt;/Year&gt;&lt;RecNum&gt;16138&lt;/RecNum&gt;&lt;DisplayText&gt;(Aparicio et al., 2017)&lt;/DisplayText&gt;&lt;record&gt;&lt;rec-number&gt;16138&lt;/rec-number&gt;&lt;foreign-keys&gt;&lt;key app="EN" db-id="vaez5ezpgvp9foeft21pzd9sdvfz20xt0wav"&gt;16138&lt;/key&gt;&lt;/foreign-keys&gt;&lt;ref-type name="Journal Article"&gt;17&lt;/ref-type&gt;&lt;contributors&gt;&lt;authors&gt;&lt;author&gt;Aparicio, Abelardo&lt;/author&gt;&lt;author&gt;Martín-Hernanz, Sara&lt;/author&gt;&lt;author&gt;Parejo-Farnés, Clara&lt;/author&gt;&lt;author&gt;Arroyo, Juan&lt;/author&gt;&lt;author&gt;Lavergne, Sébastien&lt;/author&gt;&lt;author&gt;Yeşilyurt, Emine B.&lt;/author&gt;&lt;author&gt;Zhang, Ming-Li&lt;/author&gt;&lt;author&gt;Rubio, Encarnación&lt;/author&gt;&lt;author&gt;Albaladejo, Rafael G.&lt;/author&gt;&lt;/authors&gt;&lt;/contributors&gt;&lt;titles&gt;&lt;title&gt;&lt;style face="normal" font="default" size="100%"&gt;Phylogenetic reconstruction of the genus &lt;/style&gt;&lt;style face="italic" font="default" size="100%"&gt;Helianthemum&lt;/style&gt;&lt;style face="normal" font="default" size="100%"&gt; (Cistaceae) using plastid and nuclear DNA-sequences: Systematic and evolutionary inferences&lt;/style&gt;&lt;/title&gt;&lt;secondary-title&gt;Taxon&lt;/secondary-title&gt;&lt;short-title&gt;&lt;style face="normal" font="default" size="100%"&gt;Phylogenetic reconstruction of the genus &lt;/style&gt;&lt;style face="italic" font="default" size="100%"&gt;Helianthemum&lt;/style&gt;&lt;style face="normal" font="default" size="100%"&gt; (Cistaceae) using plastid and nuclear DNA-sequences&lt;/style&gt;&lt;/short-title&gt;&lt;/titles&gt;&lt;periodical&gt;&lt;full-title&gt;Taxon&lt;/full-title&gt;&lt;/periodical&gt;&lt;pages&gt;868-885&lt;/pages&gt;&lt;volume&gt;66&lt;/volume&gt;&lt;number&gt;4&lt;/number&gt;&lt;dates&gt;&lt;year&gt;2017&lt;/year&gt;&lt;pub-dates&gt;&lt;date&gt;2017-08-18&lt;/date&gt;&lt;/pub-dates&gt;&lt;/dates&gt;&lt;isbn&gt;0040-0262&lt;/isbn&gt;&lt;urls&gt;&lt;/urls&gt;&lt;electronic-resource-num&gt;10.12705/664.5&lt;/electronic-resource-num&gt;&lt;remote-database-name&gt;DOI.org (Crossref)&lt;/remote-database-name&gt;&lt;language&gt;en&lt;/language&gt;&lt;access-date&gt;2021-09-29 13:27:19&lt;/access-date&gt;&lt;/record&gt;&lt;/Cite&gt;&lt;/EndNote&gt;</w:instrText>
            </w:r>
            <w:r>
              <w:rPr>
                <w:rFonts w:eastAsia="Calibri" w:cs="Times New Roman"/>
                <w:szCs w:val="24"/>
                <w:lang w:val="en-GB"/>
              </w:rPr>
              <w:fldChar w:fldCharType="separate"/>
            </w:r>
            <w:r>
              <w:rPr>
                <w:rFonts w:eastAsia="Calibri" w:cs="Times New Roman"/>
                <w:szCs w:val="24"/>
                <w:lang w:val="en-GB"/>
              </w:rPr>
              <w:t>(</w:t>
            </w:r>
            <w:hyperlink w:anchor="_ENREF_1" w:tgtFrame="Aparicio, 2017 #16138">
              <w:r>
                <w:rPr>
                  <w:rFonts w:eastAsia="Calibri" w:cs="Times New Roman"/>
                  <w:szCs w:val="24"/>
                  <w:lang w:val="en-GB"/>
                </w:rPr>
                <w:t>Aparicio et al., 2017</w:t>
              </w:r>
            </w:hyperlink>
            <w:r>
              <w:rPr>
                <w:rFonts w:eastAsia="Calibri" w:cs="Times New Roman"/>
                <w:szCs w:val="24"/>
                <w:lang w:val="en-GB"/>
              </w:rPr>
              <w:t>)</w:t>
            </w:r>
            <w:r>
              <w:rPr>
                <w:rFonts w:eastAsia="Calibri" w:cs="Times New Roman"/>
                <w:szCs w:val="24"/>
                <w:lang w:val="en-GB"/>
              </w:rPr>
              <w:fldChar w:fldCharType="end"/>
            </w:r>
          </w:p>
        </w:tc>
      </w:tr>
      <w:tr w:rsidR="009D6864" w14:paraId="6652D2D4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4AA991FF" w14:textId="77777777" w:rsidR="009D6864" w:rsidRDefault="00DB0E14">
            <w:pPr>
              <w:widowControl w:val="0"/>
              <w:numPr>
                <w:ilvl w:val="0"/>
                <w:numId w:val="3"/>
              </w:numPr>
              <w:spacing w:before="0" w:after="0" w:line="360" w:lineRule="auto"/>
              <w:jc w:val="both"/>
              <w:rPr>
                <w:szCs w:val="24"/>
                <w:lang w:val="en-GB"/>
              </w:rPr>
            </w:pPr>
            <w:r>
              <w:rPr>
                <w:rFonts w:eastAsia="Calibri" w:cs="Times New Roman"/>
                <w:szCs w:val="24"/>
                <w:lang w:val="en-GB"/>
              </w:rPr>
              <w:t xml:space="preserve">Bechlaghem et al. 2019 </w:t>
            </w:r>
            <w:r>
              <w:rPr>
                <w:szCs w:val="22"/>
                <w:lang w:val="en-US"/>
              </w:rPr>
              <w:fldChar w:fldCharType="begin"/>
            </w:r>
            <w:r>
              <w:rPr>
                <w:rFonts w:eastAsia="Calibri" w:cs="Times New Roman"/>
                <w:szCs w:val="24"/>
                <w:lang w:val="en-GB"/>
              </w:rPr>
              <w:instrText>ADDIN EN.CITE &lt;EndNote&gt;&lt;Cite&gt;&lt;Author&gt;Bechlaghem&lt;/Author&gt;&lt;Year&gt;2019&lt;/Year&gt;&lt;RecNum&gt;15992&lt;/RecNum&gt;&lt;DisplayText&gt;(Bechlaghem et al., 2019)&lt;/DisplayText&gt;&lt;record&gt;&lt;rec-number&gt;15992&lt;/rec-number&gt;&lt;foreign-keys&gt;&lt;key app="EN" db-id="vaez5ezpgvp9foeft21pzd9sdvfz20xt0wav"&gt;15992&lt;/key&gt;&lt;/foreign-keys&gt;&lt;ref-type name="Journal Article"&gt;17&lt;/ref-type&gt;&lt;contributors&gt;&lt;authors&gt;&lt;author&gt;Bechlaghem, Karima&lt;/author&gt;&lt;author&gt;Allali, Hocine&lt;/author&gt;&lt;author&gt;Benmehdi, Houcine&lt;/author&gt;&lt;author&gt;Aissaoui, Nadia&lt;/author&gt;&lt;author&gt;Flamini, Guido&lt;/author&gt;&lt;/authors&gt;&lt;/contributors&gt;&lt;titles&gt;&lt;title&gt;Chemical Analysis of the Essential Oils of Three &amp;lt;i&amp;gt;Cistus&amp;lt;/i&amp;gt; Species Growing in North-West of Algeria&lt;/title&gt;&lt;secondary-title&gt;Agriculturae Conspectus Scientificus&lt;/secondary-title&gt;&lt;/titles&gt;&lt;periodical&gt;&lt;full-title&gt;Agriculturae Conspectus Scientificus&lt;/full-title&gt;&lt;/periodical&gt;&lt;pages&gt;283-293&lt;/pages&gt;&lt;volume&gt;84&lt;/volume&gt;&lt;number&gt;3&lt;/number&gt;&lt;dates&gt;&lt;year&gt;2019&lt;/year&gt;&lt;pub-dates&gt;&lt;date&gt;2019&lt;/date&gt;&lt;/pub-dates&gt;&lt;/dates&gt;&lt;urls&gt;&lt;related-urls&gt;&lt;url&gt;files/298/Bechlaghem et al. - 2019 - Chemical Analysis of the Essential Oils of Three C.pdf&lt;/url&gt;&lt;/related-urls&gt;&lt;/urls&gt;&lt;remote-database-provider&gt;Zotero&lt;/remote-database-provider&gt;&lt;language&gt;en&lt;/language&gt;&lt;/record&gt;&lt;/Cite&gt;&lt;/EndNote&gt;</w:instrText>
            </w:r>
            <w:r>
              <w:rPr>
                <w:rFonts w:eastAsia="Calibri" w:cs="Times New Roman"/>
                <w:szCs w:val="24"/>
                <w:lang w:val="en-GB"/>
              </w:rPr>
              <w:fldChar w:fldCharType="separate"/>
            </w:r>
            <w:r>
              <w:rPr>
                <w:rFonts w:eastAsia="Calibri" w:cs="Times New Roman"/>
                <w:szCs w:val="24"/>
                <w:lang w:val="en-GB"/>
              </w:rPr>
              <w:t>(</w:t>
            </w:r>
            <w:hyperlink w:anchor="_ENREF_2" w:tgtFrame="Bechlaghem, 2019 #15992">
              <w:r>
                <w:rPr>
                  <w:rFonts w:eastAsia="Calibri" w:cs="Times New Roman"/>
                  <w:szCs w:val="24"/>
                  <w:lang w:val="en-GB"/>
                </w:rPr>
                <w:t>Bechlaghem et al., 2019</w:t>
              </w:r>
            </w:hyperlink>
            <w:r>
              <w:rPr>
                <w:rFonts w:eastAsia="Calibri" w:cs="Times New Roman"/>
                <w:szCs w:val="24"/>
                <w:lang w:val="en-GB"/>
              </w:rPr>
              <w:t>)</w:t>
            </w:r>
            <w:r>
              <w:rPr>
                <w:rFonts w:eastAsia="Calibri" w:cs="Times New Roman"/>
                <w:szCs w:val="24"/>
                <w:lang w:val="en-GB"/>
              </w:rPr>
              <w:fldChar w:fldCharType="end"/>
            </w:r>
          </w:p>
        </w:tc>
      </w:tr>
      <w:tr w:rsidR="009D6864" w14:paraId="47184680" w14:textId="77777777">
        <w:trPr>
          <w:trHeight w:val="284"/>
        </w:trPr>
        <w:tc>
          <w:tcPr>
            <w:tcW w:w="8364" w:type="dxa"/>
            <w:tcBorders>
              <w:left w:val="nil"/>
              <w:right w:val="nil"/>
            </w:tcBorders>
            <w:vAlign w:val="bottom"/>
          </w:tcPr>
          <w:p w14:paraId="126EFE23" w14:textId="77777777" w:rsidR="009D6864" w:rsidRDefault="00DB0E14">
            <w:pPr>
              <w:widowControl w:val="0"/>
              <w:numPr>
                <w:ilvl w:val="0"/>
                <w:numId w:val="3"/>
              </w:numPr>
              <w:spacing w:before="0" w:after="0" w:line="360" w:lineRule="auto"/>
              <w:jc w:val="both"/>
              <w:rPr>
                <w:szCs w:val="24"/>
                <w:lang w:val="en-GB"/>
              </w:rPr>
            </w:pPr>
            <w:r>
              <w:rPr>
                <w:rFonts w:eastAsia="Calibri" w:cs="Times New Roman"/>
                <w:szCs w:val="24"/>
                <w:lang w:val="en-GB"/>
              </w:rPr>
              <w:t xml:space="preserve">Ferreira et al. 2021 </w:t>
            </w:r>
            <w:r>
              <w:rPr>
                <w:szCs w:val="22"/>
                <w:lang w:val="en-US"/>
              </w:rPr>
              <w:fldChar w:fldCharType="begin"/>
            </w:r>
            <w:r>
              <w:rPr>
                <w:rFonts w:eastAsia="Calibri" w:cs="Times New Roman"/>
                <w:szCs w:val="24"/>
                <w:lang w:val="en-GB"/>
              </w:rPr>
              <w:instrText>ADDIN EN.CITE &lt;EndNote&gt;&lt;Cite&gt;&lt;Author&gt;Ferreira&lt;/Author&gt;&lt;Year&gt;2021&lt;/Year&gt;&lt;RecNum&gt;15971&lt;/RecNum&gt;&lt;DisplayText&gt;(Ferreira et al., 2021)&lt;/DisplayText&gt;&lt;record&gt;&lt;rec-number&gt;15971&lt;/rec-number&gt;&lt;foreign-keys&gt;&lt;key app="EN" db-id="vaez5ezpgvp9foeft21pzd9sdvfz20xt0wav"&gt;15971&lt;/key&gt;&lt;/foreign-keys&gt;&lt;ref-type name="Journal Article"&gt;17&lt;/ref-type&gt;&lt;contributors&gt;&lt;authors&gt;&lt;author&gt;Ferreira, Miguel R.&lt;/author&gt;&lt;author&gt;Almeida, Alice Maria&lt;/author&gt;&lt;author&gt;Quintela-Sabarís, Celestino&lt;/author&gt;&lt;author&gt;Roque, Natália&lt;/author&gt;&lt;author&gt;Fernandez, Paulo&lt;/author&gt;&lt;author&gt;Ribeiro, Maria Margarida&lt;/author&gt;&lt;/authors&gt;&lt;/contributors&gt;&lt;titles&gt;&lt;title&gt;The role of littoral cliffs in the niche delimitation on a microendemic plant facing climate change&lt;/title&gt;&lt;secondary-title&gt;PLoS One&lt;/secondary-title&gt;&lt;/titles&gt;&lt;periodical&gt;&lt;full-title&gt;PLoS One&lt;/full-title&gt;&lt;/periodical&gt;&lt;pages&gt;e0258976&lt;/pages&gt;&lt;volume&gt;16&lt;/volume&gt;&lt;number&gt;10&lt;/number&gt;&lt;dates&gt;&lt;year&gt;2021&lt;/year&gt;&lt;/dates&gt;&lt;publisher&gt;Public Library of Science&lt;/publisher&gt;&lt;urls&gt;&lt;related-urls&gt;&lt;url&gt;https://doi.org/10.1371/journal.pone.0258976&lt;/url&gt;&lt;/related-urls&gt;&lt;/urls&gt;&lt;electronic-resource-num&gt;10.1371/journal.pone.0258976&lt;/electronic-resource-num&gt;&lt;/record&gt;&lt;/Cite&gt;&lt;/EndNote&gt;</w:instrText>
            </w:r>
            <w:r>
              <w:rPr>
                <w:rFonts w:eastAsia="Calibri" w:cs="Times New Roman"/>
                <w:szCs w:val="24"/>
                <w:lang w:val="en-GB"/>
              </w:rPr>
              <w:fldChar w:fldCharType="separate"/>
            </w:r>
            <w:r>
              <w:rPr>
                <w:rFonts w:eastAsia="Calibri" w:cs="Times New Roman"/>
                <w:szCs w:val="24"/>
                <w:lang w:val="en-GB"/>
              </w:rPr>
              <w:t>(</w:t>
            </w:r>
            <w:hyperlink w:anchor="_ENREF_8" w:tgtFrame="Ferreira, 2021 #15971">
              <w:r>
                <w:rPr>
                  <w:rFonts w:eastAsia="Calibri" w:cs="Times New Roman"/>
                  <w:szCs w:val="24"/>
                  <w:lang w:val="en-GB"/>
                </w:rPr>
                <w:t>Ferreira et al., 2021</w:t>
              </w:r>
            </w:hyperlink>
            <w:r>
              <w:rPr>
                <w:rFonts w:eastAsia="Calibri" w:cs="Times New Roman"/>
                <w:szCs w:val="24"/>
                <w:lang w:val="en-GB"/>
              </w:rPr>
              <w:t>)</w:t>
            </w:r>
            <w:r>
              <w:rPr>
                <w:rFonts w:eastAsia="Calibri" w:cs="Times New Roman"/>
                <w:szCs w:val="24"/>
                <w:lang w:val="en-GB"/>
              </w:rPr>
              <w:fldChar w:fldCharType="end"/>
            </w:r>
          </w:p>
        </w:tc>
      </w:tr>
    </w:tbl>
    <w:p w14:paraId="095588C6" w14:textId="77777777" w:rsidR="009D6864" w:rsidRDefault="009D6864">
      <w:pPr>
        <w:rPr>
          <w:rFonts w:cs="Times New Roman"/>
          <w:b/>
          <w:szCs w:val="24"/>
        </w:rPr>
      </w:pPr>
    </w:p>
    <w:p w14:paraId="316CD977" w14:textId="77777777" w:rsidR="009D6864" w:rsidRDefault="00DB0E14">
      <w:pPr>
        <w:spacing w:before="0" w:after="200" w:line="276" w:lineRule="auto"/>
        <w:rPr>
          <w:rFonts w:cs="Times New Roman"/>
          <w:b/>
          <w:szCs w:val="24"/>
        </w:rPr>
      </w:pPr>
      <w:r>
        <w:br w:type="page"/>
      </w:r>
    </w:p>
    <w:p w14:paraId="37DF7349" w14:textId="06802D45" w:rsidR="009D6864" w:rsidRDefault="00DB0E14">
      <w:pPr>
        <w:rPr>
          <w:rFonts w:cs="Times New Roman"/>
          <w:szCs w:val="24"/>
          <w:lang w:val="en-GB"/>
        </w:rPr>
      </w:pPr>
      <w:r>
        <w:rPr>
          <w:rFonts w:cs="Times New Roman"/>
          <w:b/>
          <w:szCs w:val="24"/>
        </w:rPr>
        <w:lastRenderedPageBreak/>
        <w:t>Supplementary Table 2.</w:t>
      </w:r>
      <w:r>
        <w:rPr>
          <w:rFonts w:cs="Times New Roman"/>
          <w:szCs w:val="24"/>
          <w:lang w:val="en-GB"/>
        </w:rPr>
        <w:t xml:space="preserve"> Original set of the 19 bioclimatic variab</w:t>
      </w:r>
      <w:r w:rsidR="001415CE">
        <w:rPr>
          <w:rFonts w:cs="Times New Roman"/>
          <w:szCs w:val="24"/>
          <w:lang w:val="en-GB"/>
        </w:rPr>
        <w:t>les that were selected for mode</w:t>
      </w:r>
      <w:r>
        <w:rPr>
          <w:rFonts w:cs="Times New Roman"/>
          <w:szCs w:val="24"/>
          <w:lang w:val="en-GB"/>
        </w:rPr>
        <w:t>ling. The selected variables are in bold.</w:t>
      </w:r>
    </w:p>
    <w:tbl>
      <w:tblPr>
        <w:tblW w:w="8359" w:type="dxa"/>
        <w:tblLayout w:type="fixed"/>
        <w:tblLook w:val="04A0" w:firstRow="1" w:lastRow="0" w:firstColumn="1" w:lastColumn="0" w:noHBand="0" w:noVBand="1"/>
      </w:tblPr>
      <w:tblGrid>
        <w:gridCol w:w="6239"/>
        <w:gridCol w:w="1066"/>
        <w:gridCol w:w="1054"/>
      </w:tblGrid>
      <w:tr w:rsidR="009D6864" w14:paraId="1A75ECBE" w14:textId="77777777">
        <w:trPr>
          <w:trHeight w:val="284"/>
        </w:trPr>
        <w:tc>
          <w:tcPr>
            <w:tcW w:w="623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56952F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Variable</w:t>
            </w:r>
          </w:p>
        </w:tc>
        <w:tc>
          <w:tcPr>
            <w:tcW w:w="106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A5E180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Code</w:t>
            </w:r>
          </w:p>
        </w:tc>
        <w:tc>
          <w:tcPr>
            <w:tcW w:w="105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C8B288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Unit</w:t>
            </w:r>
          </w:p>
        </w:tc>
      </w:tr>
      <w:tr w:rsidR="009D6864" w14:paraId="7004F107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3907E6A0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Annual mean temperature</w:t>
            </w:r>
          </w:p>
        </w:tc>
        <w:tc>
          <w:tcPr>
            <w:tcW w:w="1066" w:type="dxa"/>
            <w:vAlign w:val="bottom"/>
          </w:tcPr>
          <w:p w14:paraId="7F276B67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2650421C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405AB0C2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089F96FA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Mean diurnal range (mean of monthly (max temp - min temp))</w:t>
            </w:r>
          </w:p>
        </w:tc>
        <w:tc>
          <w:tcPr>
            <w:tcW w:w="1066" w:type="dxa"/>
            <w:vAlign w:val="bottom"/>
          </w:tcPr>
          <w:p w14:paraId="6D6FAAFE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BIO2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6FFFB89F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7372FBFB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723BEC33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Isothermality (BIO2/BIO7) (* 100)</w:t>
            </w:r>
          </w:p>
        </w:tc>
        <w:tc>
          <w:tcPr>
            <w:tcW w:w="1066" w:type="dxa"/>
            <w:vAlign w:val="bottom"/>
          </w:tcPr>
          <w:p w14:paraId="7FE145AD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BIO3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003B0672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%</w:t>
            </w:r>
          </w:p>
        </w:tc>
      </w:tr>
      <w:tr w:rsidR="009D6864" w14:paraId="488E3AF0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1D39D1B6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Temperature seasonality (standard deviation *100)</w:t>
            </w:r>
          </w:p>
        </w:tc>
        <w:tc>
          <w:tcPr>
            <w:tcW w:w="1066" w:type="dxa"/>
            <w:vAlign w:val="bottom"/>
          </w:tcPr>
          <w:p w14:paraId="4E2EE8D7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BIO4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78A76302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</w:tr>
      <w:tr w:rsidR="009D6864" w14:paraId="4675E200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1377E2BB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Max. temperature of warmest month</w:t>
            </w:r>
          </w:p>
        </w:tc>
        <w:tc>
          <w:tcPr>
            <w:tcW w:w="1066" w:type="dxa"/>
            <w:vAlign w:val="bottom"/>
          </w:tcPr>
          <w:p w14:paraId="7941D5BB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BIO5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6DB150CE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720369DB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336BFAE2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Min. Temperature of Coldest Month</w:t>
            </w:r>
          </w:p>
        </w:tc>
        <w:tc>
          <w:tcPr>
            <w:tcW w:w="1066" w:type="dxa"/>
            <w:vAlign w:val="bottom"/>
          </w:tcPr>
          <w:p w14:paraId="5084849F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BIO6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06E09D69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3A926FB5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0800F6EA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Temperature annual range (BIO5-BIO6)</w:t>
            </w:r>
          </w:p>
        </w:tc>
        <w:tc>
          <w:tcPr>
            <w:tcW w:w="1066" w:type="dxa"/>
            <w:vAlign w:val="bottom"/>
          </w:tcPr>
          <w:p w14:paraId="280D2854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BIO7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1BD0F6A2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7BDEB266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1ED437D7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Mean temperature of wettest quarter</w:t>
            </w:r>
          </w:p>
        </w:tc>
        <w:tc>
          <w:tcPr>
            <w:tcW w:w="1066" w:type="dxa"/>
            <w:vAlign w:val="bottom"/>
          </w:tcPr>
          <w:p w14:paraId="4E6EF8B7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BIO8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12485482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2D9415F5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296EF595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Mean temperature of driest quarter</w:t>
            </w:r>
          </w:p>
        </w:tc>
        <w:tc>
          <w:tcPr>
            <w:tcW w:w="1066" w:type="dxa"/>
            <w:vAlign w:val="bottom"/>
          </w:tcPr>
          <w:p w14:paraId="20D018CB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BIO9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6A53D80B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3D2AF0BF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251B2A6D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Mean temperature of warmest quarter</w:t>
            </w:r>
          </w:p>
        </w:tc>
        <w:tc>
          <w:tcPr>
            <w:tcW w:w="1066" w:type="dxa"/>
            <w:vAlign w:val="bottom"/>
          </w:tcPr>
          <w:p w14:paraId="1E3769F2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BIO10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4EE8344B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467D0CBD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33629E83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Mean temperature of coldest quarter</w:t>
            </w:r>
          </w:p>
        </w:tc>
        <w:tc>
          <w:tcPr>
            <w:tcW w:w="1066" w:type="dxa"/>
            <w:vAlign w:val="bottom"/>
          </w:tcPr>
          <w:p w14:paraId="6967DA3C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BIO11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502C170C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°C * 10</w:t>
            </w:r>
          </w:p>
        </w:tc>
      </w:tr>
      <w:tr w:rsidR="009D6864" w14:paraId="7C7F5D28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465E7F48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Annual precipitation</w:t>
            </w:r>
          </w:p>
        </w:tc>
        <w:tc>
          <w:tcPr>
            <w:tcW w:w="1066" w:type="dxa"/>
            <w:vAlign w:val="bottom"/>
          </w:tcPr>
          <w:p w14:paraId="3245D815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BIO12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3C7F58D3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mm</w:t>
            </w:r>
          </w:p>
        </w:tc>
      </w:tr>
      <w:tr w:rsidR="009D6864" w14:paraId="7B48CA83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3D25C4D0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Precipitation of wettest month</w:t>
            </w:r>
          </w:p>
        </w:tc>
        <w:tc>
          <w:tcPr>
            <w:tcW w:w="1066" w:type="dxa"/>
            <w:vAlign w:val="bottom"/>
          </w:tcPr>
          <w:p w14:paraId="6CFC2E03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BIO13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217E09C0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mm</w:t>
            </w:r>
          </w:p>
        </w:tc>
      </w:tr>
      <w:tr w:rsidR="009D6864" w14:paraId="7B17BE58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328DF389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Precipitation of driest month</w:t>
            </w:r>
          </w:p>
        </w:tc>
        <w:tc>
          <w:tcPr>
            <w:tcW w:w="1066" w:type="dxa"/>
            <w:vAlign w:val="bottom"/>
          </w:tcPr>
          <w:p w14:paraId="0AC490A3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BIO14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31ED63BB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mm</w:t>
            </w:r>
          </w:p>
        </w:tc>
      </w:tr>
      <w:tr w:rsidR="009D6864" w14:paraId="11220E0F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58EE25C3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Precipitation seasonality (coefficient of variation)</w:t>
            </w:r>
          </w:p>
        </w:tc>
        <w:tc>
          <w:tcPr>
            <w:tcW w:w="1066" w:type="dxa"/>
            <w:vAlign w:val="bottom"/>
          </w:tcPr>
          <w:p w14:paraId="432B83FB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BIO15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7772FB5D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%</w:t>
            </w:r>
          </w:p>
        </w:tc>
      </w:tr>
      <w:tr w:rsidR="009D6864" w14:paraId="17159510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6281FEE2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Precipitation of wettest quarter</w:t>
            </w:r>
          </w:p>
        </w:tc>
        <w:tc>
          <w:tcPr>
            <w:tcW w:w="1066" w:type="dxa"/>
            <w:vAlign w:val="bottom"/>
          </w:tcPr>
          <w:p w14:paraId="301C0F1A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BIO16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3F7C1A9B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mm</w:t>
            </w:r>
          </w:p>
        </w:tc>
      </w:tr>
      <w:tr w:rsidR="009D6864" w14:paraId="30A78827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320437BE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Precipitation of driest quarter</w:t>
            </w:r>
          </w:p>
        </w:tc>
        <w:tc>
          <w:tcPr>
            <w:tcW w:w="1066" w:type="dxa"/>
            <w:vAlign w:val="bottom"/>
          </w:tcPr>
          <w:p w14:paraId="66DB3EF3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BIO17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040AE2B2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mm</w:t>
            </w:r>
          </w:p>
        </w:tc>
      </w:tr>
      <w:tr w:rsidR="009D6864" w14:paraId="4930D417" w14:textId="77777777">
        <w:trPr>
          <w:trHeight w:val="284"/>
        </w:trPr>
        <w:tc>
          <w:tcPr>
            <w:tcW w:w="6239" w:type="dxa"/>
            <w:shd w:val="clear" w:color="auto" w:fill="auto"/>
            <w:vAlign w:val="bottom"/>
          </w:tcPr>
          <w:p w14:paraId="261F1091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Precipitation of warmest quarter</w:t>
            </w:r>
          </w:p>
        </w:tc>
        <w:tc>
          <w:tcPr>
            <w:tcW w:w="1066" w:type="dxa"/>
            <w:vAlign w:val="bottom"/>
          </w:tcPr>
          <w:p w14:paraId="10CB60B2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BIO18</w:t>
            </w:r>
          </w:p>
        </w:tc>
        <w:tc>
          <w:tcPr>
            <w:tcW w:w="1054" w:type="dxa"/>
            <w:shd w:val="clear" w:color="auto" w:fill="auto"/>
            <w:vAlign w:val="bottom"/>
          </w:tcPr>
          <w:p w14:paraId="65495438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mm</w:t>
            </w:r>
          </w:p>
        </w:tc>
      </w:tr>
      <w:tr w:rsidR="009D6864" w14:paraId="74CCD142" w14:textId="77777777">
        <w:trPr>
          <w:trHeight w:val="284"/>
        </w:trPr>
        <w:tc>
          <w:tcPr>
            <w:tcW w:w="623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14557D6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Precipitation of coldest quarter</w:t>
            </w:r>
          </w:p>
        </w:tc>
        <w:tc>
          <w:tcPr>
            <w:tcW w:w="1066" w:type="dxa"/>
            <w:tcBorders>
              <w:bottom w:val="single" w:sz="4" w:space="0" w:color="000000"/>
            </w:tcBorders>
            <w:vAlign w:val="bottom"/>
          </w:tcPr>
          <w:p w14:paraId="0C4792A6" w14:textId="77777777" w:rsidR="009D6864" w:rsidRDefault="00DB0E14">
            <w:pPr>
              <w:widowControl w:val="0"/>
              <w:spacing w:before="0" w:after="0" w:line="360" w:lineRule="auto"/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BIO19</w:t>
            </w:r>
          </w:p>
        </w:tc>
        <w:tc>
          <w:tcPr>
            <w:tcW w:w="105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0D19EFB" w14:textId="77777777" w:rsidR="009D6864" w:rsidRDefault="00DB0E14">
            <w:pPr>
              <w:widowControl w:val="0"/>
              <w:spacing w:before="0" w:after="0" w:line="360" w:lineRule="auto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mm</w:t>
            </w:r>
          </w:p>
        </w:tc>
      </w:tr>
    </w:tbl>
    <w:p w14:paraId="7084B527" w14:textId="77777777" w:rsidR="009D6864" w:rsidRDefault="009D6864">
      <w:pPr>
        <w:sectPr w:rsidR="009D6864">
          <w:headerReference w:type="even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138" w:right="1181" w:bottom="1138" w:left="1282" w:header="720" w:footer="720" w:gutter="0"/>
          <w:cols w:space="720"/>
          <w:formProt w:val="0"/>
          <w:titlePg/>
          <w:docGrid w:linePitch="360"/>
        </w:sectPr>
      </w:pPr>
    </w:p>
    <w:p w14:paraId="2E2693D4" w14:textId="77777777" w:rsidR="009D6864" w:rsidRDefault="00DB0E14">
      <w:pPr>
        <w:jc w:val="both"/>
        <w:rPr>
          <w:rFonts w:cs="Times New Roman"/>
          <w:szCs w:val="24"/>
        </w:rPr>
      </w:pPr>
      <w:r>
        <w:rPr>
          <w:rFonts w:cs="Times New Roman"/>
          <w:b/>
          <w:szCs w:val="24"/>
        </w:rPr>
        <w:lastRenderedPageBreak/>
        <w:t>Supplementary Table 3.</w:t>
      </w:r>
      <w:r>
        <w:rPr>
          <w:rFonts w:cs="Times New Roman"/>
          <w:szCs w:val="24"/>
        </w:rPr>
        <w:t xml:space="preserve"> Summary of known fossil occurrences of </w:t>
      </w:r>
      <w:r>
        <w:rPr>
          <w:rFonts w:cs="Times New Roman"/>
          <w:i/>
          <w:szCs w:val="24"/>
        </w:rPr>
        <w:t>Cistus ladanifer</w:t>
      </w:r>
      <w:r>
        <w:rPr>
          <w:rFonts w:cs="Times New Roman"/>
          <w:szCs w:val="24"/>
        </w:rPr>
        <w:t xml:space="preserve"> L. Pleistocene to present ranked by the age of the oldest record. The pollen data search was made in the Neotoma Paleoecology Database by taxon ('Cistus ladanifer'=</w:t>
      </w:r>
      <w:r>
        <w:rPr>
          <w:rFonts w:cs="Times New Roman"/>
          <w:i/>
          <w:szCs w:val="24"/>
        </w:rPr>
        <w:t>C. ladanifer</w:t>
      </w:r>
      <w:r>
        <w:rPr>
          <w:rFonts w:cs="Times New Roman"/>
          <w:szCs w:val="24"/>
        </w:rPr>
        <w:t xml:space="preserve"> or 'Cistus ladanifer Type'=</w:t>
      </w:r>
      <w:r>
        <w:rPr>
          <w:rFonts w:cs="Times New Roman"/>
          <w:i/>
          <w:szCs w:val="24"/>
        </w:rPr>
        <w:t xml:space="preserve">C. ladanifer </w:t>
      </w:r>
      <w:r>
        <w:rPr>
          <w:rFonts w:cs="Times New Roman"/>
          <w:szCs w:val="24"/>
        </w:rPr>
        <w:t>Type). Age oldest = is the age of the oldest pollen record in the site. According to the pollen record oldest age the following labeling was used: Late Pleistocene (from 143.0-11.7 ka), Early-Middle Holocene (11.7-4.2 ka), and Late Holocene-Present (4.2-0 ka). Thousand years BP = ka. The remaining records were collected from the literature.</w:t>
      </w:r>
    </w:p>
    <w:tbl>
      <w:tblPr>
        <w:tblW w:w="13238" w:type="dxa"/>
        <w:tblLayout w:type="fixed"/>
        <w:tblLook w:val="0000" w:firstRow="0" w:lastRow="0" w:firstColumn="0" w:lastColumn="0" w:noHBand="0" w:noVBand="0"/>
      </w:tblPr>
      <w:tblGrid>
        <w:gridCol w:w="681"/>
        <w:gridCol w:w="1416"/>
        <w:gridCol w:w="1021"/>
        <w:gridCol w:w="2041"/>
        <w:gridCol w:w="853"/>
        <w:gridCol w:w="990"/>
        <w:gridCol w:w="1022"/>
        <w:gridCol w:w="1841"/>
        <w:gridCol w:w="3373"/>
      </w:tblGrid>
      <w:tr w:rsidR="009D6864" w14:paraId="318E31FA" w14:textId="77777777">
        <w:trPr>
          <w:trHeight w:val="284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1ECD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ID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75F6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Taxon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44AD5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Country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BACD3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Site name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0161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Latitude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D53E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Longitude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8273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Age oldest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6786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Period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96AD9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b/>
                <w:color w:val="000000"/>
                <w:sz w:val="16"/>
                <w:szCs w:val="16"/>
                <w:lang w:val="en-GB" w:eastAsia="pt-PT"/>
              </w:rPr>
              <w:t>Reference</w:t>
            </w:r>
          </w:p>
        </w:tc>
      </w:tr>
      <w:tr w:rsidR="009D6864" w14:paraId="50E32015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7201F8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668AD5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  <w:lang w:val="en-GB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E8F2D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  <w:lang w:val="en-GB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B8ACF9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  <w:lang w:val="en-GB"/>
              </w:rPr>
              <w:t>Bajondillo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4D08CE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  <w:lang w:val="en-GB"/>
              </w:rPr>
              <w:t>36.6197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BA0F2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  <w:lang w:val="en-GB"/>
              </w:rPr>
              <w:t>-4.4964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FE3019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  <w:lang w:val="en-GB"/>
              </w:rPr>
              <w:t>142</w:t>
            </w:r>
            <w:r>
              <w:rPr>
                <w:rFonts w:cs="Times New Roman"/>
                <w:sz w:val="16"/>
                <w:szCs w:val="16"/>
              </w:rPr>
              <w:t>,228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2C1A65A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Pleistocene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A1774A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&lt;EndNote&gt;&lt;Cite&gt;&lt;Author&gt;Cortés-Sánchez&lt;/Author&gt;&lt;Year&gt;2008&lt;/Year&gt;&lt;RecNum&gt;16174&lt;/RecNum&gt;&lt;DisplayText&gt;(Cortés-Sánchez et al., 2008)&lt;/DisplayText&gt;&lt;record&gt;&lt;rec-number&gt;16174&lt;/rec-number&gt;&lt;foreign-keys&gt;&lt;key app="EN" db-id="vaez5ezpgvp9foeft21pzd9sdvfz20xt0wav"&gt;16174&lt;/key&gt;&lt;/foreign-keys&gt;&lt;ref-type name="Journal Article"&gt;17&lt;/ref-type&gt;&lt;contributors&gt;&lt;authors&gt;&lt;author&gt;Cortés-Sánchez, Miguel&lt;/author&gt;&lt;author&gt;Morales-Muñiz, Arturo&lt;/author&gt;&lt;author&gt;Simón-Vallejo, María D.&lt;/author&gt;&lt;author&gt;Bergadà-Zapata, M. Mercè&lt;/author&gt;&lt;author&gt;Delgado-Huertas, Antonio&lt;/author&gt;&lt;author&gt;López-García, Pilar&lt;/author&gt;&lt;author&gt;López-Sáez, José A.&lt;/author&gt;&lt;author&gt;Lozano-Francisco, M. Carmen&lt;/author&gt;&lt;author&gt;Riquelme-Cantal, José A.&lt;/author&gt;&lt;author&gt;Roselló-Izquierdo, Eufrasia&lt;/author&gt;&lt;author&gt;Sánchez-Marco, Antonio&lt;/author&gt;&lt;author&gt;Vera-Peláez, José L.&lt;/author&gt;&lt;/authors&gt;&lt;/contributors&gt;&lt;titles&gt;&lt;title&gt;Palaeoenvironmental and cultural dynamics of the coast of Málaga (Andalusia, Spain) during the Upper Pleistocene and early Holocene&lt;/title&gt;&lt;secondary-title&gt;Quaternary Science Reviews&lt;/secondary-title&gt;&lt;/titles&gt;&lt;periodical&gt;&lt;full-title&gt;Quaternary Science Reviews&lt;/full-title&gt;&lt;abbr-1&gt;Quat Sci Rev&lt;/abbr-1&gt;&lt;abbr-2&gt;Quat. Sci. Rev.&lt;/abbr-2&gt;&lt;/periodical&gt;&lt;pages&gt;2176-2193&lt;/pages&gt;&lt;volume&gt;27&lt;/volume&gt;&lt;number&gt;23&lt;/number&gt;&lt;dates&gt;&lt;year&gt;2008&lt;/year&gt;&lt;pub-dates&gt;&lt;date&gt;2008/11/01/&lt;/date&gt;&lt;/pub-dates&gt;&lt;/dates&gt;&lt;isbn&gt;0277-3791&lt;/isbn&gt;&lt;urls&gt;&lt;related-urls&gt;&lt;url&gt;https://www.sciencedirect.com/science/article/pii/S0277379108001935&lt;/url&gt;&lt;/related-urls&gt;&lt;/urls&gt;&lt;electronic-resource-num&gt;https://doi.org/10.1016/j.quascirev.2008.03.010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5" w:tgtFrame="Cortés-Sánchez, 2008 #16174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Cortés-Sánchez et al., 2008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033E89BE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52A84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2*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0FC101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6C293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7510DE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Padul-Granada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150D3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37.0000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A88E2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-3.6700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618D1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90,000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6D691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Pleistocene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3648B3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&lt;EndNote&gt;&lt;Cite&gt;&lt;Author&gt;Pons&lt;/Author&gt;&lt;Year&gt;1988&lt;/Year&gt;&lt;RecNum&gt;16237&lt;/RecNum&gt;&lt;DisplayText&gt;(Pons and Reille, 1988)&lt;/DisplayText&gt;&lt;record&gt;&lt;rec-number&gt;16237&lt;/rec-number&gt;&lt;foreign-keys&gt;&lt;key app="EN" db-id="vaez5ezpgvp9foeft21pzd9sdvfz20xt0wav"&gt;16237&lt;/key&gt;&lt;/foreign-keys&gt;&lt;ref-type name="Journal Article"&gt;17&lt;/ref-type&gt;&lt;contributors&gt;&lt;authors&gt;&lt;author&gt;Pons, A.&lt;/author&gt;&lt;author&gt;Reille, M.&lt;/author&gt;&lt;/authors&gt;&lt;/contributors&gt;&lt;titles&gt;&lt;title&gt;The holocene- and upper pleistocene pollen record from Padul (Granada, Spain): A new study&lt;/title&gt;&lt;secondary-title&gt;Palaeogeography, Palaeoclimatology, Palaeoecology&lt;/secondary-title&gt;&lt;/titles&gt;&lt;periodical&gt;&lt;full-title&gt;Palaeogeography, Palaeoclimatology, Palaeoecology&lt;/full-title&gt;&lt;/periodical&gt;&lt;pages&gt;243-263&lt;/pages&gt;&lt;volume&gt;66&lt;/volume&gt;&lt;number&gt;3&lt;/number&gt;&lt;dates&gt;&lt;year&gt;1988&lt;/year&gt;&lt;pub-dates&gt;&lt;date&gt;1988/08/01/&lt;/date&gt;&lt;/pub-dates&gt;&lt;/dates&gt;&lt;isbn&gt;0031-0182&lt;/isbn&gt;&lt;urls&gt;&lt;related-urls&gt;&lt;url&gt;https://www.sciencedirect.com/science/article/pii/0031018288902027&lt;/url&gt;&lt;/related-urls&gt;&lt;/urls&gt;&lt;electronic-resource-num&gt;https://doi.org/10.1016/0031-0182(88)90202-7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3" w:tgtFrame="Pons, 1988 #16237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Pons and Reille, 1988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677A60D3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136E4B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3*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F0034B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BB061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Portugal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E4D8B9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Beliche-Guadiana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5B2F9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37.2667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73E5DFE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-7.4500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EA8CFC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13,092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391FAE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Pleistocene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38103C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&lt;EndNote&gt;&lt;Cite&gt;&lt;Author&gt;Fletcher&lt;/Author&gt;&lt;Year&gt;2007&lt;/Year&gt;&lt;RecNum&gt;15035&lt;/RecNum&gt;&lt;DisplayText&gt;(Fletcher et al., 2007)&lt;/DisplayText&gt;&lt;record&gt;&lt;rec-number&gt;15035&lt;/rec-number&gt;&lt;foreign-keys&gt;&lt;key app="EN" db-id="vaez5ezpgvp9foeft21pzd9sdvfz20xt0wav"&gt;15035&lt;/key&gt;&lt;/foreign-keys&gt;&lt;ref-type name="Journal Article"&gt;17&lt;/ref-type&gt;&lt;contributors&gt;&lt;authors&gt;&lt;author&gt;Fletcher, William J.&lt;/author&gt;&lt;author&gt;Boski, Tomasz&lt;/author&gt;&lt;author&gt;Moura, Delminda&lt;/author&gt;&lt;/authors&gt;&lt;/contributors&gt;&lt;titles&gt;&lt;title&gt;Palynological evidence for environmental and climatic change in the lower Guadiana valley, Portugal, during the last 13 000 years&lt;/title&gt;&lt;secondary-title&gt;The Holocene&lt;/secondary-title&gt;&lt;/titles&gt;&lt;periodical&gt;&lt;full-title&gt;The Holocene&lt;/full-title&gt;&lt;/periodical&gt;&lt;pages&gt;481-494&lt;/pages&gt;&lt;volume&gt;17&lt;/volume&gt;&lt;number&gt;4&lt;/number&gt;&lt;dates&gt;&lt;year&gt;2007&lt;/year&gt;&lt;pub-dates&gt;&lt;date&gt;May 1, 2007&lt;/date&gt;&lt;/pub-dates&gt;&lt;/dates&gt;&lt;urls&gt;&lt;related-urls&gt;&lt;url&gt;http://hol.sagepub.com/content/17/4/481.abstract&lt;/url&gt;&lt;/related-urls&gt;&lt;/urls&gt;&lt;electronic-resource-num&gt;10.1177/0959683607077027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9" w:tgtFrame="Fletcher, 2007 #15035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Fletcher et al., 2007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183E71BA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E16AB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4*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C72C05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F0913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D008756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PRD-4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54AE3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42.5333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3ACEBE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-8.5167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E3721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12,768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9C760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Pleistocene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069DC8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&lt;EndNote&gt;&lt;Cite&gt;&lt;Author&gt;López-Merino&lt;/Author&gt;&lt;Year&gt;2012&lt;/Year&gt;&lt;RecNum&gt;16182&lt;/RecNum&gt;&lt;DisplayText&gt;(López-Merino et al., 2012)&lt;/DisplayText&gt;&lt;record&gt;&lt;rec-number&gt;16182&lt;/rec-number&gt;&lt;foreign-keys&gt;&lt;key app="EN" db-id="vaez5ezpgvp9foeft21pzd9sdvfz20xt0wav"&gt;16182&lt;/key&gt;&lt;/foreign-keys&gt;&lt;ref-type name="Journal Article"&gt;17&lt;/ref-type&gt;&lt;contributors&gt;&lt;authors&gt;&lt;author&gt;López-Merino, Lourdes&lt;/author&gt;&lt;author&gt;Silva Sánchez, Noemí&lt;/author&gt;&lt;author&gt;Kaal, Joeri&lt;/author&gt;&lt;author&gt;López-Sáez, José Antonio&lt;/author&gt;&lt;author&gt;Martínez Cortizas, Antonio&lt;/author&gt;&lt;/authors&gt;&lt;/contributors&gt;&lt;titles&gt;&lt;title&gt;Post-disturbance vegetation dynamics during the Late Pleistocene and the Holocene: An example from NW Iberia&lt;/title&gt;&lt;secondary-title&gt;Global and Planetary Change&lt;/secondary-title&gt;&lt;/titles&gt;&lt;periodical&gt;&lt;full-title&gt;Global and Planetary Change&lt;/full-title&gt;&lt;/periodical&gt;&lt;pages&gt;58-70&lt;/pages&gt;&lt;volume&gt;92-93&lt;/volume&gt;&lt;dates&gt;&lt;year&gt;2012&lt;/year&gt;&lt;pub-dates&gt;&lt;date&gt;2012/07/01/&lt;/date&gt;&lt;/pub-dates&gt;&lt;/dates&gt;&lt;isbn&gt;0921-8181&lt;/isbn&gt;&lt;urls&gt;&lt;related-urls&gt;&lt;url&gt;https://www.sciencedirect.com/science/article/pii/S0921818112000598&lt;/url&gt;&lt;/related-urls&gt;&lt;/urls&gt;&lt;electronic-resource-num&gt;https://doi.org/10.1016/j.gloplacha.2012.04.003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4" w:tgtFrame="López-Merino, 2012 #16182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López-Merino et al., 2012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17B98C00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E9DAD0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5*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0307A8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949A16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C0EF11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Canaleja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A0172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40.9000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A4DA9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-2.4500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624E7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10,241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67DD0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97342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&lt;EndNote&gt;&lt;Cite&gt;&lt;Author&gt;Cerrillo-Cuenca&lt;/Author&gt;&lt;Year&gt;2011&lt;/Year&gt;&lt;RecNum&gt;15968&lt;/RecNum&gt;&lt;DisplayText&gt;(Cerrillo-Cuenca and González-Cordero, 2011)&lt;/DisplayText&gt;&lt;record&gt;&lt;rec-number&gt;15968&lt;/rec-number&gt;&lt;foreign-keys&gt;&lt;key app="EN" db-id="vaez5ezpgvp9foeft21pzd9sdvfz20xt0wav"&gt;15968&lt;/key&gt;&lt;/foreign-keys&gt;&lt;ref-type name="Book Section"&gt;5&lt;/ref-type&gt;&lt;contributors&gt;&lt;authors&gt;&lt;author&gt;Cerrillo-Cuenca, E&lt;/author&gt;&lt;author&gt;González-Cordero, A&lt;/author&gt;&lt;/authors&gt;&lt;secondary-authors&gt;&lt;author&gt;Archaeopress&lt;/author&gt;&lt;/secondary-authors&gt;&lt;/contributors&gt;&lt;titles&gt;&lt;title&gt;Burial prehistoric caves in the interior basin of river Tagus: the complex at Canaleja gorge (Romangordo, Caceres, Spain)&lt;/title&gt;&lt;secondary-title&gt; From the Origins: The Prehistory of the Inner Tagus Region&lt;/secondary-title&gt;&lt;/titles&gt;&lt;pages&gt;21-42&lt;/pages&gt;&lt;dates&gt;&lt;year&gt;2011&lt;/year&gt;&lt;/dates&gt;&lt;publisher&gt;BAR International Series 2219&lt;/publisher&gt;&lt;urls&gt;&lt;/urls&gt;&lt;/record&gt;&lt;/Cite&gt;&lt;/EndNote&gt;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3" w:tgtFrame="Cerrillo-Cuenca, 2011 #15968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Cerrillo-Cuenca and González-Cordero, 2011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046B26E6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43C93D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6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FFC57D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48435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Portugal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4B84BF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 xml:space="preserve">Lagoa Comprida 2 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3052B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41.3200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8E1898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-7.6400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65B41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10,000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BBC5F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DA6006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&lt;EndNote&gt;&lt;Cite&gt;&lt;Author&gt;van der Knaap&lt;/Author&gt;&lt;Year&gt;1997&lt;/Year&gt;&lt;RecNum&gt;15951&lt;/RecNum&gt;&lt;DisplayText&gt;(van der Knaap and van Leeuwen, 1997)&lt;/DisplayText&gt;&lt;record&gt;&lt;rec-number&gt;15951&lt;/rec-number&gt;&lt;foreign-keys&gt;&lt;key app="EN" db-id="vaez5ezpgvp9foeft21pzd9sdvfz20xt0wav"&gt;15951&lt;/key&gt;&lt;/foreign-keys&gt;&lt;ref-type name="Journal Article"&gt;17&lt;/ref-type&gt;&lt;contributors&gt;&lt;authors&gt;&lt;author&gt;van der Knaap, W. O.&lt;/author&gt;&lt;author&gt;van Leeuwen, J. F. N.&lt;/author&gt;&lt;/authors&gt;&lt;/contributors&gt;&lt;titles&gt;&lt;title&gt;Late Glacial and early Holocene vegetation succession, altitudinal vegetation zonation, and climatic change in the Serra da Estrela, Portugal&lt;/title&gt;&lt;secondary-title&gt;Review of Palaeobotany and Palynology&lt;/secondary-title&gt;&lt;/titles&gt;&lt;periodical&gt;&lt;full-title&gt;Review of Palaeobotany and Palynology&lt;/full-title&gt;&lt;abbr-1&gt;Rev Palaeobot Palyno&lt;/abbr-1&gt;&lt;abbr-2&gt;Rev. Palaeobot. Palyno.&lt;/abbr-2&gt;&lt;/periodical&gt;&lt;pages&gt;239-285&lt;/pages&gt;&lt;volume&gt;97&lt;/volume&gt;&lt;number&gt;3&lt;/number&gt;&lt;dates&gt;&lt;year&gt;1997&lt;/year&gt;&lt;pub-dates&gt;&lt;date&gt;1997/09/01/&lt;/date&gt;&lt;/pub-dates&gt;&lt;/dates&gt;&lt;isbn&gt;0034-6667&lt;/isbn&gt;&lt;urls&gt;&lt;related-urls&gt;&lt;url&gt;https://www.sciencedirect.com/science/article/pii/S0034666797000080&lt;/url&gt;&lt;/related-urls&gt;&lt;/urls&gt;&lt;electronic-resource-num&gt;https://doi.org/10.1016/S0034-6667(97)00008-0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8" w:tgtFrame="van der Knaap, 1997 #15951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van der Knaap and van Leeuwen, 1997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30436D13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DBFFC1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375446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A8F1A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4C3113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Espinosa de Cerrato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C03545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41.9600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C8189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-3.9400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63A05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8,000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0BC4E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08DF02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&lt;EndNote&gt;&lt;Cite&gt;&lt;Author&gt;Múgica&lt;/Author&gt;&lt;Year&gt;2001&lt;/Year&gt;&lt;RecNum&gt;16238&lt;/RecNum&gt;&lt;DisplayText&gt;(Franco-Múgica et al., 2001)&lt;/DisplayText&gt;&lt;record&gt;&lt;rec-number&gt;16238&lt;/rec-number&gt;&lt;foreign-keys&gt;&lt;key app="EN" db-id="vaez5ezpgvp9foeft21pzd9sdvfz20xt0wav"&gt;16238&lt;/key&gt;&lt;/foreign-keys&gt;&lt;ref-type name="Journal Article"&gt;17&lt;/ref-type&gt;&lt;contributors&gt;&lt;authors&gt;&lt;author&gt;Franco-Múgica, Fáima &lt;/author&gt;&lt;author&gt;Antón, Mercedes García&lt;/author&gt;&lt;author&gt;Ruiz, Javier Maldonado&lt;/author&gt;&lt;author&gt;Juaristi, Carlos Morla&lt;/author&gt;&lt;author&gt;Ollerol, Helios Sainz&lt;/author&gt;&lt;/authors&gt;&lt;/contributors&gt;&lt;titles&gt;&lt;title&gt;The Holocene history of Pinnus forests in the Spanish Northern Meseta&lt;/title&gt;&lt;secondary-title&gt;The Holocene&lt;/secondary-title&gt;&lt;/titles&gt;&lt;periodical&gt;&lt;full-title&gt;The Holocene&lt;/full-title&gt;&lt;/periodical&gt;&lt;pages&gt;343-358&lt;/pages&gt;&lt;volume&gt;11&lt;/volume&gt;&lt;number&gt;3&lt;/number&gt;&lt;dates&gt;&lt;year&gt;2001&lt;/year&gt;&lt;pub-dates&gt;&lt;date&gt;2001/04/01&lt;/date&gt;&lt;/pub-dates&gt;&lt;/dates&gt;&lt;publisher&gt;SAGE Publications Ltd&lt;/publisher&gt;&lt;isbn&gt;0959-6836&lt;/isbn&gt;&lt;urls&gt;&lt;related-urls&gt;&lt;url&gt;https://doi.org/10.1191/095968301669474913&lt;/url&gt;&lt;/related-urls&gt;&lt;/urls&gt;&lt;electronic-resource-num&gt;10.1191/095968301669474913&lt;/electronic-resource-num&gt;&lt;access-date&gt;2022/02/28&lt;/access-date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0" w:tgtFrame="Franco-Múgica, 2001 #16238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Franco-Múgica et al., 2001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0553BDAB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5BC485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8*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312F84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F8ADF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Portugal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F370D2F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Barbaroxa de Baixo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E01BB3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38.0791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77D94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-8.8098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D6C69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6,674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8D743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EB0F27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&lt;EndNote&gt;&lt;Cite&gt;&lt;Author&gt;Connor&lt;/Author&gt;&lt;Year&gt;2021&lt;/Year&gt;&lt;RecNum&gt;16175&lt;/RecNum&gt;&lt;DisplayText&gt;(Connor et al., 2021)&lt;/DisplayText&gt;&lt;record&gt;&lt;rec-number&gt;16175&lt;/rec-number&gt;&lt;foreign-keys&gt;&lt;key app="EN" db-id="vaez5ezpgvp9foeft21pzd9sdvfz20xt0wav"&gt;16175&lt;/key&gt;&lt;/foreign-keys&gt;&lt;ref-type name="Journal Article"&gt;17&lt;/ref-type&gt;&lt;contributors&gt;&lt;authors&gt;&lt;author&gt;Connor, Simon E.&lt;/author&gt;&lt;author&gt;Araújo, João&lt;/author&gt;&lt;author&gt;Boski, Tomasz&lt;/author&gt;&lt;author&gt;Gomes, Ana&lt;/author&gt;&lt;author&gt;Gomes, Sandra D.&lt;/author&gt;&lt;author&gt;Leira, Manel&lt;/author&gt;&lt;author&gt;Freitas, Maria da Conceição&lt;/author&gt;&lt;author&gt;Andrade, Cesar&lt;/author&gt;&lt;author&gt;Morales-Molino, César&lt;/author&gt;&lt;author&gt;Franco-Múgica, Fátima&lt;/author&gt;&lt;author&gt;Akindola, Rufus B.&lt;/author&gt;&lt;author&gt;Vannière, Boris&lt;/author&gt;&lt;/authors&gt;&lt;/contributors&gt;&lt;titles&gt;&lt;title&gt;Drought, fire and grazing precursors to large-scale pine forest decline&lt;/title&gt;&lt;secondary-title&gt;Diversity and Distributions&lt;/secondary-title&gt;&lt;/titles&gt;&lt;periodical&gt;&lt;full-title&gt;Diversity and Distributions&lt;/full-title&gt;&lt;/periodical&gt;&lt;pages&gt;1138-1151&lt;/pages&gt;&lt;volume&gt;27&lt;/volume&gt;&lt;number&gt;7&lt;/number&gt;&lt;dates&gt;&lt;year&gt;2021&lt;/year&gt;&lt;pub-dates&gt;&lt;date&gt;2021/07/01&lt;/date&gt;&lt;/pub-dates&gt;&lt;/dates&gt;&lt;publisher&gt;John Wiley &amp;amp; Sons, Ltd&lt;/publisher&gt;&lt;isbn&gt;1366-9516&lt;/isbn&gt;&lt;work-type&gt;https://doi.org/10.1111/ddi.13261&lt;/work-type&gt;&lt;urls&gt;&lt;related-urls&gt;&lt;url&gt;https://doi.org/10.1111/ddi.13261&lt;/url&gt;&lt;/related-urls&gt;&lt;/urls&gt;&lt;electronic-resource-num&gt;https://doi.org/10.1111/ddi.13261&lt;/electronic-resource-num&gt;&lt;access-date&gt;2022/01/17&lt;/access-date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4" w:tgtFrame="Connor, 2021 #16175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Connor et al., 2021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3FE0340D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A0003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D34450C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49B0E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147C10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Los Barruecos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E84C1A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39.4200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BC569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-6.5000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951B95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6,000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400F1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78F4F4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&lt;EndNote&gt;&lt;Cite&gt;&lt;Author&gt;López-Sáez&lt;/Author&gt;&lt;Year&gt;2007&lt;/Year&gt;&lt;RecNum&gt;16240&lt;/RecNum&gt;&lt;DisplayText&gt;(López-Sáez et al., 2007)&lt;/DisplayText&gt;&lt;record&gt;&lt;rec-number&gt;16240&lt;/rec-number&gt;&lt;foreign-keys&gt;&lt;key app="EN" db-id="vaez5ezpgvp9foeft21pzd9sdvfz20xt0wav"&gt;16240&lt;/key&gt;&lt;/foreign-keys&gt;&lt;ref-type name="Journal Article"&gt;17&lt;/ref-type&gt;&lt;contributors&gt;&lt;authors&gt;&lt;author&gt;López-Sáez, José Antonio&lt;/author&gt;&lt;author&gt;Lopez, Pilar&lt;/author&gt;&lt;author&gt;Merino, Lourdes&lt;/author&gt;&lt;author&gt;Cerrillo-Cuenca, Enrique&lt;/author&gt;&lt;author&gt;Cordero, Antonio&lt;/author&gt;&lt;author&gt;Prada Gallardo, Alicia&lt;/author&gt;&lt;/authors&gt;&lt;/contributors&gt;&lt;titles&gt;&lt;title&gt;Origen Prehistórico de la Dehesa en Extremadura: una Perspectiva Paleoambiental&lt;/title&gt;&lt;secondary-title&gt;Revista de estudios extremeños, ISSN 0210-2854, Vol. 63, Nº 1, 2007, pags. 493-510&lt;/secondary-title&gt;&lt;/titles&gt;&lt;periodical&gt;&lt;full-title&gt;Revista de estudios extremeños, ISSN 0210-2854, Vol. 63, Nº 1, 2007, pags. 493-510&lt;/full-title&gt;&lt;/periodical&gt;&lt;volume&gt;63&lt;/volume&gt;&lt;dates&gt;&lt;year&gt;2007&lt;/year&gt;&lt;/dates&gt;&lt;urls&gt;&lt;/urls&gt;&lt;/record&gt;&lt;/Cite&gt;&lt;/EndNote&gt;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7" w:tgtFrame="López-Sáez, 2007 #16240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López-Sáez et al., 2007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51AA53BF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7399C7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34F8A5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33A33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Portugal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0A3813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Muge River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15ED5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39.1000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2401F6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-8.6600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011CE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5,800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BF11D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71BD44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&lt;EndNote&gt;&lt;Cite&gt;&lt;Author&gt;van der Schriek&lt;/Author&gt;&lt;Year&gt;2007&lt;/Year&gt;&lt;RecNum&gt;16244&lt;/RecNum&gt;&lt;DisplayText&gt;(van der Schriek et al., 2007)&lt;/DisplayText&gt;&lt;record&gt;&lt;rec-number&gt;16244&lt;/rec-number&gt;&lt;foreign-keys&gt;&lt;key app="EN" db-id="vaez5ezpgvp9foeft21pzd9sdvfz20xt0wav"&gt;16244&lt;/key&gt;&lt;/foreign-keys&gt;&lt;ref-type name="Journal Article"&gt;17&lt;/ref-type&gt;&lt;contributors&gt;&lt;authors&gt;&lt;author&gt;van der Schriek, Tim&lt;/author&gt;&lt;author&gt;Passmore, David G.&lt;/author&gt;&lt;author&gt;Stevenson, Anthony C.&lt;/author&gt;&lt;author&gt;Rolao, Jose&lt;/author&gt;&lt;/authors&gt;&lt;/contributors&gt;&lt;titles&gt;&lt;title&gt;The palaeogeography of Mesolithic settlement-subsistence and shell midden formation in the Muge valley, Lower Tagus Basin, Portugal&lt;/title&gt;&lt;secondary-title&gt;The Holocene&lt;/secondary-title&gt;&lt;/titles&gt;&lt;periodical&gt;&lt;full-title&gt;The Holocene&lt;/full-title&gt;&lt;/periodical&gt;&lt;pages&gt;369-385&lt;/pages&gt;&lt;volume&gt;17&lt;/volume&gt;&lt;number&gt;3&lt;/number&gt;&lt;dates&gt;&lt;year&gt;2007&lt;/year&gt;&lt;pub-dates&gt;&lt;date&gt;2007/04/01&lt;/date&gt;&lt;/pub-dates&gt;&lt;/dates&gt;&lt;publisher&gt;SAGE Publications Ltd&lt;/publisher&gt;&lt;isbn&gt;0959-6836&lt;/isbn&gt;&lt;urls&gt;&lt;related-urls&gt;&lt;url&gt;https://doi.org/10.1177/0959683607075839&lt;/url&gt;&lt;/related-urls&gt;&lt;/urls&gt;&lt;electronic-resource-num&gt;10.1177/0959683607075839&lt;/electronic-resource-num&gt;&lt;access-date&gt;2022/02/28&lt;/access-date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9" w:tgtFrame="van der Schriek, 2007 #16244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van der Schriek et al., 2007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3E937199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5B9E9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11*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DF6596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4912D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Portugal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63C859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Lagoa Travessa II 1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909D1E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38.3044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C56C8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-8.7725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E1049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5,537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7A836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610D3A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&lt;EndNote&gt;&lt;Cite&gt;&lt;Author&gt;Mateus&lt;/Author&gt;&lt;Year&gt;1992&lt;/Year&gt;&lt;RecNum&gt;15210&lt;/RecNum&gt;&lt;DisplayText&gt;(Mateus, 1992)&lt;/DisplayText&gt;&lt;record&gt;&lt;rec-number&gt;15210&lt;/rec-number&gt;&lt;foreign-keys&gt;&lt;key app="EN" db-id="vaez5ezpgvp9foeft21pzd9sdvfz20xt0wav"&gt;15210&lt;/key&gt;&lt;/foreign-keys&gt;&lt;ref-type name="Thesis"&gt;32&lt;/ref-type&gt;&lt;contributors&gt;&lt;authors&gt;&lt;author&gt;Mateus, J.E&lt;/author&gt;&lt;/authors&gt;&lt;/contributors&gt;&lt;titles&gt;&lt;title&gt;Holocene and present-day ecosystems of the Carvalhal Region, Southwest Portugal. PhD thesis&lt;/title&gt;&lt;/titles&gt;&lt;pages&gt;184&lt;/pages&gt;&lt;volume&gt;PhD&lt;/volume&gt;&lt;dates&gt;&lt;year&gt;1992&lt;/year&gt;&lt;/dates&gt;&lt;pub-location&gt;Utreque&lt;/pub-location&gt;&lt;publisher&gt;Universidade de Utreque&lt;/publisher&gt;&lt;urls&gt;&lt;/urls&gt;&lt;/record&gt;&lt;/Cite&gt;&lt;/EndNote&gt;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0" w:tgtFrame="Mateus, 1992 #15210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Mateus, 1992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746EB973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979D79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12*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4FBF7A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71711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Portugal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0BEA3A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Lagoa Travessa II 2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25845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38.3044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953E70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-8.7725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D40D4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4,631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0E4D0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Early-Middle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BAE2FD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&lt;EndNote&gt;&lt;Cite&gt;&lt;Author&gt;Mateus&lt;/Author&gt;&lt;Year&gt;1992&lt;/Year&gt;&lt;RecNum&gt;15210&lt;/RecNum&gt;&lt;DisplayText&gt;(Mateus, 1992)&lt;/DisplayText&gt;&lt;record&gt;&lt;rec-number&gt;15210&lt;/rec-number&gt;&lt;foreign-keys&gt;&lt;key app="EN" db-id="vaez5ezpgvp9foeft21pzd9sdvfz20xt0wav"&gt;15210&lt;/key&gt;&lt;/foreign-keys&gt;&lt;ref-type name="Thesis"&gt;32&lt;/ref-type&gt;&lt;contributors&gt;&lt;authors&gt;&lt;author&gt;Mateus, J.E&lt;/author&gt;&lt;/authors&gt;&lt;/contributors&gt;&lt;titles&gt;&lt;title&gt;Holocene and present-day ecosystems of the Carvalhal Region, Southwest Portugal. PhD thesis&lt;/title&gt;&lt;/titles&gt;&lt;pages&gt;184&lt;/pages&gt;&lt;volume&gt;PhD&lt;/volume&gt;&lt;dates&gt;&lt;year&gt;1992&lt;/year&gt;&lt;/dates&gt;&lt;pub-location&gt;Utreque&lt;/pub-location&gt;&lt;publisher&gt;Universidade de Utreque&lt;/publisher&gt;&lt;urls&gt;&lt;/urls&gt;&lt;/record&gt;&lt;/Cite&gt;&lt;/EndNote&gt;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0" w:tgtFrame="Mateus, 1992 #15210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Mateus, 1992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4EC9EF10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CD694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4C0C2E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7BF63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7A1439F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Valencina de la Concepción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ABE1B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37.4100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FDD5E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-6.0700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031AB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4,150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25A43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218DC5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&lt;EndNote&gt;&lt;Cite&gt;&lt;Author&gt;Nocete&lt;/Author&gt;&lt;Year&gt;2008&lt;/Year&gt;&lt;RecNum&gt;16242&lt;/RecNum&gt;&lt;DisplayText&gt;(Nocete et al., 2008)&lt;/DisplayText&gt;&lt;record&gt;&lt;rec-number&gt;16242&lt;/rec-number&gt;&lt;foreign-keys&gt;&lt;key app="EN" db-id="vaez5ezpgvp9foeft21pzd9sdvfz20xt0wav"&gt;16242&lt;/key&gt;&lt;/foreign-keys&gt;&lt;ref-type name="Journal Article"&gt;17&lt;/ref-type&gt;&lt;contributors&gt;&lt;authors&gt;&lt;author&gt;Nocete, F.&lt;/author&gt;&lt;author&gt;Queipo, G.&lt;/author&gt;&lt;author&gt;Sáez, R.&lt;/author&gt;&lt;author&gt;Nieto, J. M.&lt;/author&gt;&lt;author&gt;Inácio, N.&lt;/author&gt;&lt;author&gt;Bayona, M. R.&lt;/author&gt;&lt;author&gt;Peramo, A.&lt;/author&gt;&lt;author&gt;Vargas, J. M.&lt;/author&gt;&lt;author&gt;Cruz-Auñón, R.&lt;/author&gt;&lt;author&gt;Gil-Ibarguchi, J. I.&lt;/author&gt;&lt;author&gt;Santos, J. F.&lt;/author&gt;&lt;/authors&gt;&lt;/contributors&gt;&lt;titles&gt;&lt;title&gt;The smelting quarter of Valencina de la Concepción (Seville, Spain): the specialised copper industry in a political centre of the Guadalquivir Valley during the Third millennium BC (2750–2500 BC)&lt;/title&gt;&lt;secondary-title&gt;Journal of Archaeological Science&lt;/secondary-title&gt;&lt;/titles&gt;&lt;periodical&gt;&lt;full-title&gt;Journal of Archaeological Science&lt;/full-title&gt;&lt;/periodical&gt;&lt;pages&gt;717-732&lt;/pages&gt;&lt;volume&gt;35&lt;/volume&gt;&lt;number&gt;3&lt;/number&gt;&lt;dates&gt;&lt;year&gt;2008&lt;/year&gt;&lt;pub-dates&gt;&lt;date&gt;2008/03/01/&lt;/date&gt;&lt;/pub-dates&gt;&lt;/dates&gt;&lt;isbn&gt;0305-4403&lt;/isbn&gt;&lt;urls&gt;&lt;related-urls&gt;&lt;url&gt;https://www.sciencedirect.com/science/article/pii/S0305440307001112&lt;/url&gt;&lt;/related-urls&gt;&lt;/urls&gt;&lt;electronic-resource-num&gt;https://doi.org/10.1016/j.jas.2007.05.019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2" w:tgtFrame="Nocete, 2008 #16242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Nocete et al., 2008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7BD0CF7E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3E5238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14*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90253D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F18E6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F08EA2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Valdeyernos bog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C9CC3C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39.4411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5107F5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-4.0964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4F20DB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3,397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04E88A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859E5C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&lt;EndNote&gt;&lt;Cite&gt;&lt;Author&gt;Dorado-Valiño&lt;/Author&gt;&lt;Year&gt;2014&lt;/Year&gt;&lt;RecNum&gt;15946&lt;/RecNum&gt;&lt;DisplayText&gt;(Dorado-Valiño et al., 2014b)&lt;/DisplayText&gt;&lt;record&gt;&lt;rec-number&gt;15946&lt;/rec-number&gt;&lt;foreign-keys&gt;&lt;key app="EN" db-id="vaez5ezpgvp9foeft21pzd9sdvfz20xt0wav"&gt;15946&lt;/key&gt;&lt;/foreign-keys&gt;&lt;ref-type name="Journal Article"&gt;17&lt;/ref-type&gt;&lt;contributors&gt;&lt;authors&gt;&lt;author&gt;Dorado-Valiño, Miriam&lt;/author&gt;&lt;author&gt;López-Sáez, José Antonio&lt;/author&gt;&lt;author&gt;García-Gómez, Enrique&lt;/author&gt;&lt;/authors&gt;&lt;/contributors&gt;&lt;titles&gt;&lt;title&gt;26. Valdeyernos, Toledo Mountains (central Spain)&lt;/title&gt;&lt;secondary-title&gt;Grana&lt;/secondary-title&gt;&lt;/titles&gt;&lt;periodical&gt;&lt;full-title&gt;Grana&lt;/full-title&gt;&lt;/periodical&gt;&lt;pages&gt;315-317&lt;/pages&gt;&lt;volume&gt;53&lt;/volume&gt;&lt;number&gt;4&lt;/number&gt;&lt;dates&gt;&lt;year&gt;2014&lt;/year&gt;&lt;pub-dates&gt;&lt;date&gt;2014/10/02&lt;/date&gt;&lt;/pub-dates&gt;&lt;/dates&gt;&lt;publisher&gt;Taylor &amp;amp; Francis&lt;/publisher&gt;&lt;isbn&gt;0017-3134&lt;/isbn&gt;&lt;urls&gt;&lt;related-urls&gt;&lt;url&gt;https://doi.org/10.1080/00173134.2014.936490&lt;/url&gt;&lt;/related-urls&gt;&lt;/urls&gt;&lt;electronic-resource-num&gt;10.1080/00173134.2014.936490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7" w:tgtFrame="Dorado-Valiño, 2014 #15946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Dorado-Valiño et al., 2014b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3E9D44FA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4B50A9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15*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062FE79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C9185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Portugal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B8684C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Charco da Candieira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68622F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40.3417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F86B9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-7.5764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F4393F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3,379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E9008A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6A7CE2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&lt;EndNote&gt;&lt;Cite&gt;&lt;Author&gt;van der Knaap&lt;/Author&gt;&lt;Year&gt;1995&lt;/Year&gt;&lt;RecNum&gt;15201&lt;/RecNum&gt;&lt;DisplayText&gt;(van der Knaap and van Leeuwen, 1995)&lt;/DisplayText&gt;&lt;record&gt;&lt;rec-number&gt;15201&lt;/rec-number&gt;&lt;foreign-keys&gt;&lt;key app="EN" db-id="vaez5ezpgvp9foeft21pzd9sdvfz20xt0wav"&gt;15201&lt;/key&gt;&lt;/foreign-keys&gt;&lt;ref-type name="Journal Article"&gt;17&lt;/ref-type&gt;&lt;contributors&gt;&lt;authors&gt;&lt;author&gt;van der Knaap, W. O.&lt;/author&gt;&lt;author&gt;van Leeuwen, J. F. N.&lt;/author&gt;&lt;/authors&gt;&lt;/contributors&gt;&lt;titles&gt;&lt;title&gt;Holocene vegetation succession and degradation as responses to climatic change and human activity in the Serra de Estrela, Portugal&lt;/title&gt;&lt;secondary-title&gt;Review of Palaeobotany and Palynology&lt;/secondary-title&gt;&lt;/titles&gt;&lt;periodical&gt;&lt;full-title&gt;Review of Palaeobotany and Palynology&lt;/full-title&gt;&lt;abbr-1&gt;Rev Palaeobot Palyno&lt;/abbr-1&gt;&lt;abbr-2&gt;Rev. Palaeobot. Palyno.&lt;/abbr-2&gt;&lt;/periodical&gt;&lt;pages&gt;153-211&lt;/pages&gt;&lt;volume&gt;89&lt;/volume&gt;&lt;number&gt;3-4&lt;/number&gt;&lt;dates&gt;&lt;year&gt;1995&lt;/year&gt;&lt;/dates&gt;&lt;isbn&gt;0034-6667&lt;/isbn&gt;&lt;urls&gt;&lt;related-urls&gt;&lt;url&gt;http://www.sciencedirect.com/science/article/pii/0034666795000480&lt;/url&gt;&lt;/related-urls&gt;&lt;/urls&gt;&lt;electronic-resource-num&gt;http://dx.doi.org/10.1016/0034-6667(95)00048-0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7" w:tgtFrame="van der Knaap, 1995 #15201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van der Knaap and van Leeuwen, 1995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7871A3BB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6C003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16*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45200B2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F1930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A1DF17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Botija bog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AF838A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39.6030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A1C9C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-4.6967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CC6241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3,127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646A6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F53445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&lt;EndNote&gt;&lt;Cite&gt;&lt;Author&gt;Luelmo-Lautenschlaeger&lt;/Author&gt;&lt;Year&gt;2018&lt;/Year&gt;&lt;RecNum&gt;16186&lt;/RecNum&gt;&lt;DisplayText&gt;(Luelmo-Lautenschlaeger et al., 2018b)&lt;/DisplayText&gt;&lt;record&gt;&lt;rec-number&gt;16186&lt;/rec-number&gt;&lt;foreign-keys&gt;&lt;key app="EN" db-id="vaez5ezpgvp9foeft21pzd9sdvfz20xt0wav"&gt;16186&lt;/key&gt;&lt;/foreign-keys&gt;&lt;ref-type name="Journal Article"&gt;17&lt;/ref-type&gt;&lt;contributors&gt;&lt;authors&gt;&lt;author&gt;Luelmo-Lautenschlaeger, Reyes&lt;/author&gt;&lt;author&gt;López-Sáez, José Antonio&lt;/author&gt;&lt;author&gt;Pérez-Díaz, Sebastián&lt;/author&gt;&lt;/authors&gt;&lt;/contributors&gt;&lt;titles&gt;&lt;title&gt;40. Botija, Toledo Mountains (central Spain)&lt;/title&gt;&lt;secondary-title&gt;Grana&lt;/secondary-title&gt;&lt;/titles&gt;&lt;periodical&gt;&lt;full-title&gt;Grana&lt;/full-title&gt;&lt;/periodical&gt;&lt;pages&gt;322-324&lt;/pages&gt;&lt;volume&gt;57&lt;/volume&gt;&lt;number&gt;4&lt;/number&gt;&lt;dates&gt;&lt;year&gt;2018&lt;/year&gt;&lt;pub-dates&gt;&lt;date&gt;2018/07/04&lt;/date&gt;&lt;/pub-dates&gt;&lt;/dates&gt;&lt;publisher&gt;Taylor &amp;amp; Francis&lt;/publisher&gt;&lt;isbn&gt;0017-3134&lt;/isbn&gt;&lt;urls&gt;&lt;related-urls&gt;&lt;url&gt;https://doi.org/10.1080/00173134.2017.1400587&lt;/url&gt;&lt;/related-urls&gt;&lt;/urls&gt;&lt;electronic-resource-num&gt;10.1080/00173134.2017.1400587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9" w:tgtFrame="Luelmo-Lautenschlaeger, 2018 #16186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Luelmo-Lautenschlaeger et al., 2018b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4D4D4F11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A32CE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FD759A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9561D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BD69D11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El Carrizal lake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545E9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41.3200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6BE3A7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-4.1500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D514F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2,500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91EA4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7D54F3A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&lt;EndNote&gt;&lt;Cite&gt;&lt;Author&gt;Franco-Múgica&lt;/Author&gt;&lt;Year&gt;2005&lt;/Year&gt;&lt;RecNum&gt;16239&lt;/RecNum&gt;&lt;DisplayText&gt;(Franco-Múgica et al., 2005)&lt;/DisplayText&gt;&lt;record&gt;&lt;rec-number&gt;16239&lt;/rec-number&gt;&lt;foreign-keys&gt;&lt;key app="EN" db-id="vaez5ezpgvp9foeft21pzd9sdvfz20xt0wav"&gt;16239&lt;/key&gt;&lt;/foreign-keys&gt;&lt;ref-type name="Journal Article"&gt;17&lt;/ref-type&gt;&lt;contributors&gt;&lt;authors&gt;&lt;author&gt;Franco-Múgica, Fátima&lt;/author&gt;&lt;author&gt;García-Antón, Mercedes&lt;/author&gt;&lt;author&gt;Maldonado-Ruiz, Javier&lt;/author&gt;&lt;author&gt;Morla-Juaristi, Carlos&lt;/author&gt;&lt;author&gt;Sainz-Ollero, Helios&lt;/author&gt;&lt;/authors&gt;&lt;/contributors&gt;&lt;titles&gt;&lt;title&gt;Ancient pine forest on inland dunes in the Spanish northern meseta&lt;/title&gt;&lt;secondary-title&gt;Quaternary Research&lt;/secondary-title&gt;&lt;/titles&gt;&lt;periodical&gt;&lt;full-title&gt;Quaternary Research&lt;/full-title&gt;&lt;abbr-1&gt;Quaternary Res&lt;/abbr-1&gt;&lt;abbr-2&gt;Quaternary Res.&lt;/abbr-2&gt;&lt;/periodical&gt;&lt;pages&gt;1-14&lt;/pages&gt;&lt;volume&gt;63&lt;/volume&gt;&lt;number&gt;1&lt;/number&gt;&lt;edition&gt;2017/01/20&lt;/edition&gt;&lt;dates&gt;&lt;year&gt;2005&lt;/year&gt;&lt;/dates&gt;&lt;publisher&gt;Cambridge University Press&lt;/publisher&gt;&lt;isbn&gt;0033-5894&lt;/isbn&gt;&lt;urls&gt;&lt;related-urls&gt;&lt;url&gt;https://www.cambridge.org/core/article/ancient-pine-forest-on-inland-dunes-in-the-spanish-northern-meseta/8861D2D691174EAF5D07188DA8098F1E&lt;/url&gt;&lt;/related-urls&gt;&lt;/urls&gt;&lt;electronic-resource-num&gt;DOI: 10.1016/j.yqres.2004.08.004&lt;/electronic-resource-num&gt;&lt;remote-database-name&gt;Cambridge Core&lt;/remote-database-name&gt;&lt;remote-database-provider&gt;Cambridge University Press&lt;/remote-database-provider&gt;&lt;/record&gt;&lt;/Cite&gt;&lt;/EndNote&gt;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1" w:tgtFrame="Franco-Múgica, 2005 #16239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Franco-Múgica et al., 2005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407418D6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DF27B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18*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102E6C6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75C3796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CD407F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Patateros bog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301B2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39.5972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88EB14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-4.6742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33281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2,497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96B30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E5F134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&lt;EndNote&gt;&lt;Cite&gt;&lt;Author&gt;Dorado-Valiño&lt;/Author&gt;&lt;Year&gt;2014&lt;/Year&gt;&lt;RecNum&gt;16185&lt;/RecNum&gt;&lt;DisplayText&gt;(Dorado-Valiño et al., 2014a)&lt;/DisplayText&gt;&lt;record&gt;&lt;rec-number&gt;16185&lt;/rec-number&gt;&lt;foreign-keys&gt;&lt;key app="EN" db-id="vaez5ezpgvp9foeft21pzd9sdvfz20xt0wav"&gt;16185&lt;/key&gt;&lt;/foreign-keys&gt;&lt;ref-type name="Journal Article"&gt;17&lt;/ref-type&gt;&lt;contributors&gt;&lt;authors&gt;&lt;author&gt;Dorado-Valiño, Miriam&lt;/author&gt;&lt;author&gt;López-Sáez, José Antonio&lt;/author&gt;&lt;author&gt;García-Gómez, Enrique&lt;/author&gt;&lt;/authors&gt;&lt;/contributors&gt;&lt;titles&gt;&lt;title&gt;21. Patateros, Toledo Mountains (central Spain)&lt;/title&gt;&lt;secondary-title&gt;Grana&lt;/secondary-title&gt;&lt;/titles&gt;&lt;periodical&gt;&lt;full-title&gt;Grana&lt;/full-title&gt;&lt;/periodical&gt;&lt;pages&gt;171-173&lt;/pages&gt;&lt;volume&gt;53&lt;/volume&gt;&lt;number&gt;2&lt;/number&gt;&lt;dates&gt;&lt;year&gt;2014&lt;/year&gt;&lt;pub-dates&gt;&lt;date&gt;2014/04/03&lt;/date&gt;&lt;/pub-dates&gt;&lt;/dates&gt;&lt;publisher&gt;Taylor &amp;amp; Francis&lt;/publisher&gt;&lt;isbn&gt;0017-3134&lt;/isbn&gt;&lt;urls&gt;&lt;related-urls&gt;&lt;url&gt;https://doi.org/10.1080/00173134.2014.903293&lt;/url&gt;&lt;/related-urls&gt;&lt;/urls&gt;&lt;electronic-resource-num&gt;10.1080/00173134.2014.903293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6" w:tgtFrame="Dorado-Valiño, 2014 #16185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Dorado-Valiño et al., 2014a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2EA92376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E9957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19*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C18F51D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4803A6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4DEF65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Lanzahíta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E5A4F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40.2233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F6AF8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-4.9368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B8F4E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2,434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9855D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5216EE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&lt;EndNote&gt;&lt;Cite&gt;&lt;Author&gt;López-Sáez&lt;/Author&gt;&lt;Year&gt;2010&lt;/Year&gt;&lt;RecNum&gt;15953&lt;/RecNum&gt;&lt;DisplayText&gt;(López-Sáez et al., 2010)&lt;/DisplayText&gt;&lt;record&gt;&lt;rec-number&gt;15953&lt;/rec-number&gt;&lt;foreign-keys&gt;&lt;key app="EN" db-id="vaez5ezpgvp9foeft21pzd9sdvfz20xt0wav"&gt;15953&lt;/key&gt;&lt;/foreign-keys&gt;&lt;ref-type name="Journal Article"&gt;17&lt;/ref-type&gt;&lt;contributors&gt;&lt;authors&gt;&lt;author&gt;López-Sáez, José Antonio&lt;/author&gt;&lt;author&gt;López-Merino, Lourdes&lt;/author&gt;&lt;author&gt;Alba-Sánchez, Francisca&lt;/author&gt;&lt;author&gt;Pérez-Díaz, Sebastián&lt;/author&gt;&lt;author&gt;Abel-Schaad, Daniel&lt;/author&gt;&lt;author&gt;Carrión, José S.&lt;/author&gt;&lt;/authors&gt;&lt;/contributors&gt;&lt;titles&gt;&lt;title&gt;Late Holocene ecological history of Pinus pinaster forests in the Sierra de Gredos of central Spain&lt;/title&gt;&lt;secondary-title&gt;Plant Ecology&lt;/secondary-title&gt;&lt;/titles&gt;&lt;periodical&gt;&lt;full-title&gt;Plant Ecology&lt;/full-title&gt;&lt;abbr-1&gt;Plant Ecol&lt;/abbr-1&gt;&lt;abbr-2&gt;Plant Ecol.&lt;/abbr-2&gt;&lt;/periodical&gt;&lt;pages&gt;195&lt;/pages&gt;&lt;volume&gt;206&lt;/volume&gt;&lt;number&gt;2&lt;/number&gt;&lt;dates&gt;&lt;year&gt;2010&lt;/year&gt;&lt;pub-dates&gt;&lt;date&gt;2009/07/14&lt;/date&gt;&lt;/pub-dates&gt;&lt;/dates&gt;&lt;isbn&gt;1573-5052&lt;/isbn&gt;&lt;urls&gt;&lt;related-urls&gt;&lt;url&gt;https://doi.org/10.1007/s11258-009-9634-z&lt;/url&gt;&lt;/related-urls&gt;&lt;/urls&gt;&lt;electronic-resource-num&gt;10.1007/s11258-009-9634-z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5" w:tgtFrame="López-Sáez, 2010 #15953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López-Sáez et al., 2010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151635B5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C2238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20*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7DA050E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00AC1A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ED715E6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Puerto de Serranillos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6FD1B9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40.3072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CD96C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-4.9342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1D16F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1,953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0806E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BFDDD0E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&lt;EndNote&gt;&lt;Cite&gt;&lt;Author&gt;López-Merino&lt;/Author&gt;&lt;Year&gt;2009&lt;/Year&gt;&lt;RecNum&gt;16189&lt;/RecNum&gt;&lt;DisplayText&gt;(López-Merino et al., 2009)&lt;/DisplayText&gt;&lt;record&gt;&lt;rec-number&gt;16189&lt;/rec-number&gt;&lt;foreign-keys&gt;&lt;key app="EN" db-id="vaez5ezpgvp9foeft21pzd9sdvfz20xt0wav"&gt;16189&lt;/key&gt;&lt;/foreign-keys&gt;&lt;ref-type name="Journal Article"&gt;17&lt;/ref-type&gt;&lt;contributors&gt;&lt;authors&gt;&lt;author&gt;López-Merino, L.&lt;/author&gt;&lt;author&gt;López-Sáez, J. A.&lt;/author&gt;&lt;author&gt;Alba-Sánchez, F.&lt;/author&gt;&lt;author&gt;Pérez-Díaz, S.&lt;/author&gt;&lt;author&gt;Carrión, J. S.&lt;/author&gt;&lt;/authors&gt;&lt;/contributors&gt;&lt;titles&gt;&lt;title&gt;2000 years of pastoralism and fire shaping high-altitude vegetation of Sierra de Gredos in central Spain&lt;/title&gt;&lt;secondary-title&gt;Review of Palaeobotany and Palynology&lt;/secondary-title&gt;&lt;/titles&gt;&lt;periodical&gt;&lt;full-title&gt;Review of Palaeobotany and Palynology&lt;/full-title&gt;&lt;abbr-1&gt;Rev Palaeobot Palyno&lt;/abbr-1&gt;&lt;abbr-2&gt;Rev. Palaeobot. Palyno.&lt;/abbr-2&gt;&lt;/periodical&gt;&lt;pages&gt;42-51&lt;/pages&gt;&lt;volume&gt;158&lt;/volume&gt;&lt;number&gt;1&lt;/number&gt;&lt;dates&gt;&lt;year&gt;2009&lt;/year&gt;&lt;pub-dates&gt;&lt;date&gt;2009/12/01/&lt;/date&gt;&lt;/pub-dates&gt;&lt;/dates&gt;&lt;isbn&gt;0034-6667&lt;/isbn&gt;&lt;urls&gt;&lt;related-urls&gt;&lt;url&gt;https://www.sciencedirect.com/science/article/pii/S0034666709001225&lt;/url&gt;&lt;/related-urls&gt;&lt;/urls&gt;&lt;electronic-resource-num&gt;https://doi.org/10.1016/j.revpalbo.2009.07.003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3" w:tgtFrame="López-Merino, 2009 #16189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López-Merino et al., 2009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67B5FA88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172F8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21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863E07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068E67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91C28F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Ojos del Tremedal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5E1CA2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40.5400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16259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-2.0500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6AC2A3C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1,830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DCEB4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73A03F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&lt;EndNote&gt;&lt;Cite&gt;&lt;Author&gt;Stevenson&lt;/Author&gt;&lt;Year&gt;2000&lt;/Year&gt;&lt;RecNum&gt;16243&lt;/RecNum&gt;&lt;DisplayText&gt;(Stevenson, 2000)&lt;/DisplayText&gt;&lt;record&gt;&lt;rec-number&gt;16243&lt;/rec-number&gt;&lt;foreign-keys&gt;&lt;key app="EN" db-id="vaez5ezpgvp9foeft21pzd9sdvfz20xt0wav"&gt;16243&lt;/key&gt;&lt;/foreign-keys&gt;&lt;ref-type name="Journal Article"&gt;17&lt;/ref-type&gt;&lt;contributors&gt;&lt;authors&gt;&lt;author&gt;Stevenson, A. C.&lt;/author&gt;&lt;/authors&gt;&lt;/contributors&gt;&lt;titles&gt;&lt;title&gt;The Holocene forest history of the Montes Universales, Teruel, Spain&lt;/title&gt;&lt;secondary-title&gt;The Holocene&lt;/secondary-title&gt;&lt;/titles&gt;&lt;periodical&gt;&lt;full-title&gt;The Holocene&lt;/full-title&gt;&lt;/periodical&gt;&lt;pages&gt;603-610&lt;/pages&gt;&lt;volume&gt;10&lt;/volume&gt;&lt;number&gt;5&lt;/number&gt;&lt;dates&gt;&lt;year&gt;2000&lt;/year&gt;&lt;pub-dates&gt;&lt;date&gt;2000/07/01&lt;/date&gt;&lt;/pub-dates&gt;&lt;/dates&gt;&lt;publisher&gt;SAGE Publications Ltd&lt;/publisher&gt;&lt;isbn&gt;0959-6836&lt;/isbn&gt;&lt;urls&gt;&lt;related-urls&gt;&lt;url&gt;https://doi.org/10.1191/095968300670543500&lt;/url&gt;&lt;/related-urls&gt;&lt;/urls&gt;&lt;electronic-resource-num&gt;10.1191/095968300670543500&lt;/electronic-resource-num&gt;&lt;access-date&gt;2022/02/28&lt;/access-date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6" w:tgtFrame="Stevenson, 2000 #16243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Stevenson, 2000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1777651E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592645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22*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1E105D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A669DD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C1598F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Labradillos mire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D95756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40.3449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9C4C71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-4.5707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1636FD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1,481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84850F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956F163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&lt;EndNote&gt;&lt;Cite&gt;&lt;Author&gt;Robles López&lt;/Author&gt;&lt;Year&gt;2017&lt;/Year&gt;&lt;RecNum&gt;15957&lt;/RecNum&gt;&lt;DisplayText&gt;(Robles López et al., 2017)&lt;/DisplayText&gt;&lt;record&gt;&lt;rec-number&gt;15957&lt;/rec-number&gt;&lt;foreign-keys&gt;&lt;key app="EN" db-id="vaez5ezpgvp9foeft21pzd9sdvfz20xt0wav"&gt;15957&lt;/key&gt;&lt;/foreign-keys&gt;&lt;ref-type name="Journal Article"&gt;17&lt;/ref-type&gt;&lt;contributors&gt;&lt;authors&gt;&lt;author&gt;Robles López, Sandra&lt;/author&gt;&lt;author&gt;Manzano-Rodríguez, Saúl&lt;/author&gt;&lt;author&gt;Pérez-Díaz, Sebastián&lt;/author&gt;&lt;author&gt;López-Sáez, José Antonio&lt;/author&gt;&lt;/authors&gt;&lt;/contributors&gt;&lt;titles&gt;&lt;title&gt;35. Labradillos mire, Gregos Range (central Spain)&lt;/title&gt;&lt;secondary-title&gt;Grana&lt;/secondary-title&gt;&lt;/titles&gt;&lt;periodical&gt;&lt;full-title&gt;Grana&lt;/full-title&gt;&lt;/periodical&gt;&lt;pages&gt;398-400&lt;/pages&gt;&lt;volume&gt;56&lt;/volume&gt;&lt;number&gt;5&lt;/number&gt;&lt;dates&gt;&lt;year&gt;2017&lt;/year&gt;&lt;pub-dates&gt;&lt;date&gt;2017/09/03&lt;/date&gt;&lt;/pub-dates&gt;&lt;/dates&gt;&lt;publisher&gt;Taylor &amp;amp; Francis&lt;/publisher&gt;&lt;isbn&gt;0017-3134&lt;/isbn&gt;&lt;urls&gt;&lt;related-urls&gt;&lt;url&gt;https://doi.org/10.1080/00173134.2017.1282976&lt;/url&gt;&lt;/related-urls&gt;&lt;/urls&gt;&lt;electronic-resource-num&gt;10.1080/00173134.2017.1282976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25" w:tgtFrame="Robles López, 2017 #15957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Robles López et al., 2017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79FF195A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6EF70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23*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E06C9A9" w14:textId="77777777" w:rsidR="009D6864" w:rsidRPr="00A04891" w:rsidRDefault="00DB0E14">
            <w:pPr>
              <w:widowControl w:val="0"/>
              <w:spacing w:before="0" w:after="0"/>
              <w:jc w:val="center"/>
              <w:rPr>
                <w:i/>
              </w:rPr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573529B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34C1AE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Posidonia Lligat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F6DA9E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42.2922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2DD84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3.2911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CE355E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1,312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E22572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FC37F8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&lt;EndNote&gt;&lt;Cite&gt;&lt;Author&gt;López-Sáez&lt;/Author&gt;&lt;Year&gt;2009&lt;/Year&gt;&lt;RecNum&gt;16241&lt;/RecNum&gt;&lt;DisplayText&gt;(López-Sáez et al., 2009)&lt;/DisplayText&gt;&lt;record&gt;&lt;rec-number&gt;16241&lt;/rec-number&gt;&lt;foreign-keys&gt;&lt;key app="EN" db-id="vaez5ezpgvp9foeft21pzd9sdvfz20xt0wav"&gt;16241&lt;/key&gt;&lt;/foreign-keys&gt;&lt;ref-type name="Journal Article"&gt;17&lt;/ref-type&gt;&lt;contributors&gt;&lt;authors&gt;&lt;author&gt;López-Sáez, José Antonio&lt;/author&gt;&lt;author&gt;López-Merino, Lourdes&lt;/author&gt;&lt;author&gt;Mateo, Miguel&lt;/author&gt;&lt;author&gt;Serrano, Oscar&lt;/author&gt;&lt;author&gt;Pérez-Díaz, Sebastián&lt;/author&gt;&lt;author&gt;Serrano, Laura&lt;/author&gt;&lt;/authors&gt;&lt;/contributors&gt;&lt;titles&gt;&lt;title&gt;Palaeoecological potential of the marine organic deposits of Posidonia oceanica: A case study in the NE Iberian Peninsula&lt;/title&gt;&lt;secondary-title&gt;Palaeogeography Palaeoclimatology Palaeoecology&lt;/secondary-title&gt;&lt;/titles&gt;&lt;periodical&gt;&lt;full-title&gt;Palaeogeography Palaeoclimatology Palaeoecology&lt;/full-title&gt;&lt;/periodical&gt;&lt;pages&gt;215-224&lt;/pages&gt;&lt;volume&gt;271&lt;/volume&gt;&lt;dates&gt;&lt;year&gt;2009&lt;/year&gt;&lt;/dates&gt;&lt;urls&gt;&lt;/urls&gt;&lt;electronic-resource-num&gt;10.1016/j.palaeo.2008.10.020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6" w:tgtFrame="López-Sáez, 2009 #16241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López-Sáez et al., 2009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tr w:rsidR="009D6864" w14:paraId="563AD46C" w14:textId="77777777">
        <w:trPr>
          <w:trHeight w:val="255"/>
        </w:trPr>
        <w:tc>
          <w:tcPr>
            <w:tcW w:w="6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A7C9951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24*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128993" w14:textId="77777777" w:rsidR="009D6864" w:rsidRDefault="00DB0E14">
            <w:pPr>
              <w:widowControl w:val="0"/>
              <w:spacing w:before="0" w:after="0"/>
              <w:jc w:val="center"/>
            </w:pPr>
            <w:r w:rsidRPr="00A04891">
              <w:rPr>
                <w:rFonts w:cs="Times New Roman"/>
                <w:i/>
                <w:sz w:val="16"/>
                <w:szCs w:val="16"/>
              </w:rPr>
              <w:t>C. ladanifer</w:t>
            </w:r>
            <w:r>
              <w:rPr>
                <w:rFonts w:cs="Times New Roman"/>
                <w:sz w:val="16"/>
                <w:szCs w:val="16"/>
              </w:rPr>
              <w:t xml:space="preserve"> Type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349B60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Spain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8399CF3" w14:textId="77777777" w:rsidR="009D6864" w:rsidRDefault="00DB0E14">
            <w:pPr>
              <w:widowControl w:val="0"/>
              <w:spacing w:before="0" w:after="0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Las Lanchas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546DF6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39.5858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F57D68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-4.8943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6D8FCC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310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D677F1F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rPr>
                <w:rFonts w:cs="Times New Roman"/>
                <w:sz w:val="16"/>
                <w:szCs w:val="16"/>
              </w:rPr>
              <w:t>Late Holocene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848DA4" w14:textId="77777777" w:rsidR="009D6864" w:rsidRDefault="00DB0E14">
            <w:pPr>
              <w:widowControl w:val="0"/>
              <w:spacing w:before="0" w:after="0"/>
              <w:jc w:val="center"/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</w:pPr>
            <w:r>
              <w:fldChar w:fldCharType="begin"/>
            </w:r>
            <w:r>
              <w:rPr>
                <w:sz w:val="16"/>
                <w:szCs w:val="16"/>
              </w:rPr>
              <w:instrText>ADDIN EN.CITE &lt;EndNote&gt;&lt;Cite&gt;&lt;Author&gt;Luelmo-Lautenschlaeger&lt;/Author&gt;&lt;Year&gt;2018&lt;/Year&gt;&lt;RecNum&gt;16187&lt;/RecNum&gt;&lt;DisplayText&gt;(Luelmo-Lautenschlaeger et al., 2018a)&lt;/DisplayText&gt;&lt;record&gt;&lt;rec-number&gt;16187&lt;/rec-number&gt;&lt;foreign-keys&gt;&lt;key app="EN" db-id="vaez5ezpgvp9foeft21pzd9sdvfz20xt0wav"&gt;16187&lt;/key&gt;&lt;/foreign-keys&gt;&lt;ref-type name="Journal Article"&gt;17&lt;/ref-type&gt;&lt;contributors&gt;&lt;authors&gt;&lt;author&gt;Luelmo-Lautenschlaeger, Reyes&lt;/author&gt;&lt;author&gt;López-Sáez, José Antonio&lt;/author&gt;&lt;author&gt;Pérez-Díaz, Sebastián&lt;/author&gt;&lt;/authors&gt;&lt;/contributors&gt;&lt;titles&gt;&lt;title&gt;39. Las Lanchas, Toledo Mountains (central Spain)&lt;/title&gt;&lt;secondary-title&gt;Grana&lt;/secondary-title&gt;&lt;/titles&gt;&lt;periodical&gt;&lt;full-title&gt;Grana&lt;/full-title&gt;&lt;/periodical&gt;&lt;pages&gt;246-248&lt;/pages&gt;&lt;volume&gt;57&lt;/volume&gt;&lt;number&gt;3&lt;/number&gt;&lt;dates&gt;&lt;year&gt;2018&lt;/year&gt;&lt;pub-dates&gt;&lt;date&gt;2018/05/04&lt;/date&gt;&lt;/pub-dates&gt;&lt;/dates&gt;&lt;publisher&gt;Taylor &amp;amp; Francis&lt;/publisher&gt;&lt;isbn&gt;0017-3134&lt;/isbn&gt;&lt;urls&gt;&lt;related-urls&gt;&lt;url&gt;https://doi.org/10.1080/00173134.2017.1366547&lt;/url&gt;&lt;/related-urls&gt;&lt;/urls&gt;&lt;electronic-resource-num&gt;10.1080/00173134.2017.1366547&lt;/electronic-resource-num&gt;&lt;/record&gt;&lt;/Cite&gt;&lt;/EndNote&gt;</w:instrText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(</w:t>
            </w:r>
            <w:hyperlink w:anchor="_ENREF_18" w:tgtFrame="Luelmo-Lautenschlaeger, 2018 #16187">
              <w:r>
                <w:rPr>
                  <w:rFonts w:eastAsia="Calibri" w:cs="Times New Roman"/>
                  <w:color w:val="000000"/>
                  <w:sz w:val="16"/>
                  <w:szCs w:val="16"/>
                  <w:lang w:val="en-GB" w:eastAsia="pt-PT"/>
                </w:rPr>
                <w:t>Luelmo-Lautenschlaeger et al., 2018a</w:t>
              </w:r>
            </w:hyperlink>
            <w:r>
              <w:rPr>
                <w:rFonts w:eastAsia="Calibri" w:cs="Times New Roman"/>
                <w:color w:val="000000"/>
                <w:sz w:val="16"/>
                <w:szCs w:val="16"/>
                <w:lang w:val="en-GB" w:eastAsia="pt-PT"/>
              </w:rPr>
              <w:t>)</w:t>
            </w:r>
            <w:r>
              <w:rPr>
                <w:sz w:val="16"/>
                <w:szCs w:val="16"/>
              </w:rPr>
              <w:fldChar w:fldCharType="end"/>
            </w:r>
          </w:p>
        </w:tc>
      </w:tr>
    </w:tbl>
    <w:p w14:paraId="29F41937" w14:textId="77777777" w:rsidR="009D6864" w:rsidRDefault="00DB0E14">
      <w:pPr>
        <w:spacing w:before="0" w:after="200" w:line="276" w:lineRule="auto"/>
        <w:rPr>
          <w:rFonts w:cs="Times New Roman"/>
          <w:sz w:val="20"/>
          <w:szCs w:val="20"/>
          <w:lang w:val="en-GB"/>
        </w:rPr>
        <w:sectPr w:rsidR="009D6864">
          <w:headerReference w:type="even" r:id="rId13"/>
          <w:headerReference w:type="default" r:id="rId14"/>
          <w:footerReference w:type="even" r:id="rId15"/>
          <w:footerReference w:type="default" r:id="rId16"/>
          <w:pgSz w:w="15840" w:h="12240" w:orient="landscape"/>
          <w:pgMar w:top="1282" w:right="1138" w:bottom="1181" w:left="1138" w:header="720" w:footer="0" w:gutter="0"/>
          <w:cols w:space="720"/>
          <w:formProt w:val="0"/>
          <w:docGrid w:linePitch="360"/>
        </w:sectPr>
      </w:pPr>
      <w:r>
        <w:rPr>
          <w:rFonts w:cs="Times New Roman"/>
          <w:sz w:val="20"/>
          <w:szCs w:val="20"/>
          <w:lang w:val="en-GB"/>
        </w:rPr>
        <w:t>*Source: Neotoma Paleoecology Database (https://apps.neotomadb.org/explorer/)</w:t>
      </w:r>
    </w:p>
    <w:p w14:paraId="14780EA0" w14:textId="77777777" w:rsidR="009D6864" w:rsidRDefault="00DB0E14">
      <w:pPr>
        <w:spacing w:before="0" w:after="200" w:line="276" w:lineRule="auto"/>
        <w:rPr>
          <w:lang w:val="en-GB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0" distR="0" simplePos="0" relativeHeight="33" behindDoc="0" locked="0" layoutInCell="0" allowOverlap="1" wp14:anchorId="01615D7D" wp14:editId="0F4C308C">
                <wp:simplePos x="0" y="0"/>
                <wp:positionH relativeFrom="column">
                  <wp:posOffset>-635</wp:posOffset>
                </wp:positionH>
                <wp:positionV relativeFrom="paragraph">
                  <wp:posOffset>-635</wp:posOffset>
                </wp:positionV>
                <wp:extent cx="406400" cy="361950"/>
                <wp:effectExtent l="0" t="0" r="0" b="0"/>
                <wp:wrapNone/>
                <wp:docPr id="8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6440" cy="361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C6802DB" w14:textId="77777777" w:rsidR="0027112D" w:rsidRDefault="0027112D">
                            <w:pPr>
                              <w:pStyle w:val="Contedodamoldura"/>
                              <w:jc w:val="center"/>
                              <w:rPr>
                                <w:lang w:val="pt-PT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(A)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01615D7D" id="Caixa de Texto 2" o:spid="_x0000_s1026" style="position:absolute;margin-left:-.05pt;margin-top:-.05pt;width:32pt;height:28.5pt;z-index:33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" o:allowincell="f" stroked="f">
                <v:textbox>
                  <w:txbxContent>
                    <w:p w14:paraId="3C6802DB" w14:textId="77777777" w:rsidR="0027112D" w:rsidRDefault="0027112D">
                      <w:pPr>
                        <w:pStyle w:val="Contedodamoldura"/>
                        <w:jc w:val="center"/>
                        <w:rPr>
                          <w:lang w:val="pt-PT"/>
                        </w:rPr>
                      </w:pPr>
                      <w:r>
                        <w:rPr>
                          <w:color w:val="000000"/>
                        </w:rPr>
                        <w:t>(A)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en-GB" w:eastAsia="en-GB"/>
        </w:rPr>
        <w:drawing>
          <wp:inline distT="0" distB="0" distL="0" distR="0" wp14:anchorId="78EF1DCF" wp14:editId="08578753">
            <wp:extent cx="6054725" cy="3603625"/>
            <wp:effectExtent l="0" t="0" r="0" b="0"/>
            <wp:docPr id="10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4725" cy="3603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D5DA14" w14:textId="77777777" w:rsidR="009D6864" w:rsidRDefault="00DB0E14">
      <w:pPr>
        <w:spacing w:after="0"/>
        <w:rPr>
          <w:rFonts w:cs="Times New Roman"/>
          <w:b/>
          <w:szCs w:val="24"/>
          <w:lang w:val="en-GB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31" behindDoc="0" locked="0" layoutInCell="0" allowOverlap="1" wp14:anchorId="20EF336D" wp14:editId="2C5E4F2B">
                <wp:simplePos x="0" y="0"/>
                <wp:positionH relativeFrom="margin">
                  <wp:align>left</wp:align>
                </wp:positionH>
                <wp:positionV relativeFrom="paragraph">
                  <wp:posOffset>109855</wp:posOffset>
                </wp:positionV>
                <wp:extent cx="406400" cy="361950"/>
                <wp:effectExtent l="0" t="0" r="0" b="0"/>
                <wp:wrapNone/>
                <wp:docPr id="11" name="Caixa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640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6CE7082" w14:textId="77777777" w:rsidR="0027112D" w:rsidRDefault="0027112D">
                            <w:pPr>
                              <w:pStyle w:val="Contedodamoldura"/>
                              <w:jc w:val="center"/>
                              <w:rPr>
                                <w:lang w:val="pt-PT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(B)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0EF336D" id="_x0000_s1027" style="position:absolute;margin-left:0;margin-top:8.65pt;width:32pt;height:28.5pt;z-index:31;visibility:visible;mso-wrap-style:square;mso-wrap-distance-left:0;mso-wrap-distance-top:0;mso-wrap-distance-right:0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" o:allowincell="f" stroked="f">
                <v:textbox>
                  <w:txbxContent>
                    <w:p w14:paraId="76CE7082" w14:textId="77777777" w:rsidR="0027112D" w:rsidRDefault="0027112D">
                      <w:pPr>
                        <w:pStyle w:val="Contedodamoldura"/>
                        <w:jc w:val="center"/>
                        <w:rPr>
                          <w:lang w:val="pt-PT"/>
                        </w:rPr>
                      </w:pPr>
                      <w:r>
                        <w:rPr>
                          <w:color w:val="000000"/>
                        </w:rPr>
                        <w:t>(B)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lang w:val="en-GB" w:eastAsia="en-GB"/>
        </w:rPr>
        <w:drawing>
          <wp:inline distT="0" distB="0" distL="0" distR="0" wp14:anchorId="47C67F49" wp14:editId="250DF9B9">
            <wp:extent cx="6054725" cy="3784600"/>
            <wp:effectExtent l="0" t="0" r="0" b="0"/>
            <wp:docPr id="1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3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4725" cy="378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1C15D3" w14:textId="77777777" w:rsidR="009D6864" w:rsidRDefault="00DB0E14">
      <w:pPr>
        <w:pStyle w:val="Bibliografia"/>
        <w:jc w:val="both"/>
        <w:rPr>
          <w:rFonts w:cs="Times New Roman"/>
          <w:szCs w:val="24"/>
          <w:lang w:val="en-GB"/>
        </w:rPr>
      </w:pPr>
      <w:r>
        <w:rPr>
          <w:rFonts w:cs="Times New Roman"/>
          <w:b/>
          <w:color w:val="000000" w:themeColor="text1"/>
          <w:szCs w:val="24"/>
          <w:lang w:val="en-GB"/>
        </w:rPr>
        <w:t>Supplementary Figure 1</w:t>
      </w:r>
      <w:r>
        <w:rPr>
          <w:rFonts w:cs="Times New Roman"/>
          <w:color w:val="000000" w:themeColor="text1"/>
          <w:szCs w:val="24"/>
          <w:lang w:val="en-GB"/>
        </w:rPr>
        <w:t xml:space="preserve">. Distribution of each variable included in the model, across all the </w:t>
      </w:r>
      <w:r>
        <w:rPr>
          <w:rFonts w:cs="Times New Roman"/>
          <w:szCs w:val="24"/>
          <w:lang w:val="en-GB"/>
        </w:rPr>
        <w:t>considered time periods: past (LIG, LGM, MH), current and future. For the two General Circulation Models (GCMs), CCSM4 (A) and MRI-CGCM3 (B).</w:t>
      </w:r>
      <w:r>
        <w:br w:type="page"/>
      </w:r>
    </w:p>
    <w:p w14:paraId="377DE9FD" w14:textId="08D74D67" w:rsidR="009D6864" w:rsidRDefault="00FF310C">
      <w:pPr>
        <w:pStyle w:val="Bibliografia"/>
        <w:jc w:val="center"/>
        <w:rPr>
          <w:rFonts w:cs="Times New Roman"/>
          <w:b/>
          <w:szCs w:val="24"/>
          <w:lang w:val="en-GB"/>
        </w:rPr>
      </w:pPr>
      <w:r>
        <w:rPr>
          <w:rFonts w:cs="Times New Roman"/>
          <w:b/>
          <w:noProof/>
          <w:szCs w:val="24"/>
          <w:lang w:val="en-GB" w:eastAsia="en-GB"/>
        </w:rPr>
        <w:lastRenderedPageBreak/>
        <w:drawing>
          <wp:inline distT="0" distB="0" distL="0" distR="0" wp14:anchorId="46C11FCA" wp14:editId="67BDF4F9">
            <wp:extent cx="5601600" cy="31500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ure_modelo.tif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1600" cy="315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865A6F" w14:textId="61F310A1" w:rsidR="00376A91" w:rsidRDefault="00DB0E14">
      <w:pPr>
        <w:pStyle w:val="Bibliografia"/>
        <w:rPr>
          <w:rFonts w:cs="Times New Roman"/>
          <w:szCs w:val="24"/>
          <w:lang w:val="en-GB"/>
        </w:rPr>
      </w:pPr>
      <w:r>
        <w:rPr>
          <w:rFonts w:cs="Times New Roman"/>
          <w:b/>
          <w:szCs w:val="24"/>
          <w:lang w:val="en-GB"/>
        </w:rPr>
        <w:t>Supplementary Figure 2</w:t>
      </w:r>
      <w:r>
        <w:rPr>
          <w:rFonts w:cs="Times New Roman"/>
          <w:szCs w:val="24"/>
          <w:lang w:val="en-GB"/>
        </w:rPr>
        <w:t>. Methods graphical overview.</w:t>
      </w:r>
    </w:p>
    <w:p w14:paraId="44D1E54D" w14:textId="77777777" w:rsidR="00376A91" w:rsidRDefault="00376A91">
      <w:pPr>
        <w:spacing w:before="0" w:after="0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br w:type="page"/>
      </w:r>
    </w:p>
    <w:p w14:paraId="2A8FB026" w14:textId="77777777" w:rsidR="00C642E5" w:rsidRDefault="00C642E5" w:rsidP="00C642E5">
      <w:pPr>
        <w:pStyle w:val="Bibliografia"/>
        <w:jc w:val="center"/>
        <w:rPr>
          <w:b/>
          <w:lang w:val="en-GB"/>
        </w:rPr>
      </w:pPr>
      <w:r>
        <w:rPr>
          <w:rFonts w:cs="Times New Roman"/>
          <w:noProof/>
          <w:szCs w:val="24"/>
          <w:lang w:val="en-GB" w:eastAsia="en-GB"/>
        </w:rPr>
        <w:lastRenderedPageBreak/>
        <w:drawing>
          <wp:inline distT="0" distB="0" distL="0" distR="0" wp14:anchorId="0CCE64A2" wp14:editId="33CEEE12">
            <wp:extent cx="5032800" cy="7221600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Fig_04.tif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2800" cy="722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BE73DF" w14:textId="0FE0AF30" w:rsidR="00C642E5" w:rsidRDefault="00C642E5" w:rsidP="00C642E5">
      <w:pPr>
        <w:pStyle w:val="Bibliografia"/>
        <w:jc w:val="both"/>
        <w:rPr>
          <w:lang w:val="en-GB"/>
        </w:rPr>
      </w:pPr>
      <w:r w:rsidRPr="00C642E5">
        <w:rPr>
          <w:b/>
          <w:lang w:val="en-GB"/>
        </w:rPr>
        <w:t>Supplementary Figure 3</w:t>
      </w:r>
      <w:r w:rsidRPr="00C642E5">
        <w:rPr>
          <w:lang w:val="en-GB"/>
        </w:rPr>
        <w:t xml:space="preserve">. Predicted current distribution for </w:t>
      </w:r>
      <w:r w:rsidRPr="00C642E5">
        <w:rPr>
          <w:i/>
          <w:lang w:val="en-GB"/>
        </w:rPr>
        <w:t xml:space="preserve">C. ladanifer </w:t>
      </w:r>
      <w:r w:rsidRPr="00C642E5">
        <w:rPr>
          <w:lang w:val="en-GB"/>
        </w:rPr>
        <w:t>L. Maps show the probability of the spatial distribution predicted by the four modeling algorithms: (A) GLM, (B) MaxEnt, (C) ANN, (D) MARS, and by the Ensemble model (E). Suitability class range: 0.0-0.2, non-suitable area; 0.2-0.4, low-suitability area; 0.4-0.6, general-suitability area; 0.6-0.8, medium-suitability area and 0.8-1.0, high-suitability area. The maps were built with ArcGIS® Desktop v10.8.1.</w:t>
      </w:r>
      <w:r>
        <w:rPr>
          <w:lang w:val="en-GB"/>
        </w:rPr>
        <w:br w:type="page"/>
      </w:r>
    </w:p>
    <w:p w14:paraId="6AAD894F" w14:textId="6F203C2E" w:rsidR="003765CF" w:rsidRDefault="00C642E5" w:rsidP="00C642E5">
      <w:pPr>
        <w:jc w:val="center"/>
        <w:rPr>
          <w:lang w:val="en-GB"/>
        </w:rPr>
      </w:pPr>
      <w:r>
        <w:rPr>
          <w:noProof/>
          <w:lang w:val="en-GB" w:eastAsia="en-GB"/>
        </w:rPr>
        <w:lastRenderedPageBreak/>
        <w:drawing>
          <wp:inline distT="0" distB="0" distL="0" distR="0" wp14:anchorId="42B1A526" wp14:editId="4F36D7EF">
            <wp:extent cx="4593600" cy="7632000"/>
            <wp:effectExtent l="0" t="0" r="0" b="762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Fig_06.tif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3600" cy="763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7433FF" w14:textId="5E2B1309" w:rsidR="00C642E5" w:rsidRDefault="00C642E5" w:rsidP="00C642E5">
      <w:pPr>
        <w:jc w:val="both"/>
        <w:rPr>
          <w:lang w:val="en-GB"/>
        </w:rPr>
      </w:pPr>
      <w:r w:rsidRPr="00C642E5">
        <w:rPr>
          <w:b/>
          <w:lang w:val="en-GB"/>
        </w:rPr>
        <w:t>Supplementary Figure 4</w:t>
      </w:r>
      <w:r w:rsidRPr="00C642E5">
        <w:rPr>
          <w:lang w:val="en-GB"/>
        </w:rPr>
        <w:t xml:space="preserve">. Binary maps: presence (dark green)/absence (gray). </w:t>
      </w:r>
      <w:r w:rsidRPr="00C642E5">
        <w:rPr>
          <w:lang w:val="pt-PT"/>
        </w:rPr>
        <w:t xml:space="preserve">(A) LIG, (B) LGM, (C) MH, (D) Current, (E) RCP 4.5 2050, (F) RCP 4.5 2070, (G) RCP 8.5 2050, (H) RCP8.5 2070. </w:t>
      </w:r>
      <w:r w:rsidRPr="00C642E5">
        <w:rPr>
          <w:lang w:val="en-GB"/>
        </w:rPr>
        <w:t>The maps were built with ArcGIS® Desktop v10.8.1.</w:t>
      </w:r>
      <w:r>
        <w:rPr>
          <w:lang w:val="en-GB"/>
        </w:rPr>
        <w:br w:type="page"/>
      </w:r>
    </w:p>
    <w:tbl>
      <w:tblPr>
        <w:tblStyle w:val="Tabelacomgrelh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66"/>
        <w:gridCol w:w="4686"/>
      </w:tblGrid>
      <w:tr w:rsidR="00391597" w14:paraId="56AC1015" w14:textId="77777777" w:rsidTr="00B1529C">
        <w:trPr>
          <w:jc w:val="center"/>
        </w:trPr>
        <w:tc>
          <w:tcPr>
            <w:tcW w:w="4666" w:type="dxa"/>
          </w:tcPr>
          <w:p w14:paraId="3E739E67" w14:textId="0D3ADDE9" w:rsidR="00391597" w:rsidRDefault="00391597" w:rsidP="00391597">
            <w:pPr>
              <w:spacing w:before="0" w:after="0"/>
              <w:rPr>
                <w:lang w:val="en-GB"/>
              </w:rPr>
            </w:pPr>
            <w:r>
              <w:rPr>
                <w:color w:val="000000"/>
              </w:rPr>
              <w:lastRenderedPageBreak/>
              <w:t>(A)</w:t>
            </w:r>
          </w:p>
          <w:p w14:paraId="47163991" w14:textId="361CA6CE" w:rsidR="00391597" w:rsidRDefault="00391597" w:rsidP="00391597">
            <w:pPr>
              <w:spacing w:before="0" w:after="0"/>
              <w:jc w:val="center"/>
              <w:rPr>
                <w:lang w:val="en-GB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5A7F47A6" wp14:editId="5FEC8A3D">
                  <wp:extent cx="2710815" cy="1656080"/>
                  <wp:effectExtent l="0" t="0" r="0" b="0"/>
                  <wp:docPr id="23" name="Imagem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Imagem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0815" cy="1656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86" w:type="dxa"/>
          </w:tcPr>
          <w:p w14:paraId="0932421D" w14:textId="5B5DAB49" w:rsidR="00391597" w:rsidRDefault="00391597" w:rsidP="00391597">
            <w:pPr>
              <w:spacing w:before="0" w:after="0"/>
              <w:rPr>
                <w:lang w:val="en-GB"/>
              </w:rPr>
            </w:pPr>
            <w:r>
              <w:rPr>
                <w:color w:val="000000"/>
              </w:rPr>
              <w:t>(B)</w:t>
            </w:r>
          </w:p>
          <w:p w14:paraId="3AAB3F66" w14:textId="3FD5BB37" w:rsidR="00391597" w:rsidRDefault="00391597" w:rsidP="00391597">
            <w:pPr>
              <w:spacing w:before="0" w:after="0"/>
              <w:jc w:val="center"/>
              <w:rPr>
                <w:lang w:val="en-GB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3E4F2DBB" wp14:editId="7E9A2A9C">
                  <wp:extent cx="2714625" cy="1656080"/>
                  <wp:effectExtent l="0" t="0" r="0" b="0"/>
                  <wp:docPr id="24" name="Imagem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m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14625" cy="1656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91597" w14:paraId="446DDCA6" w14:textId="77777777" w:rsidTr="00B1529C">
        <w:trPr>
          <w:jc w:val="center"/>
        </w:trPr>
        <w:tc>
          <w:tcPr>
            <w:tcW w:w="4666" w:type="dxa"/>
          </w:tcPr>
          <w:p w14:paraId="1AD312CC" w14:textId="77777777" w:rsidR="00391597" w:rsidRDefault="00391597" w:rsidP="00391597">
            <w:pPr>
              <w:pStyle w:val="Contedodamoldura"/>
              <w:spacing w:before="0" w:after="0"/>
              <w:rPr>
                <w:color w:val="000000"/>
              </w:rPr>
            </w:pPr>
            <w:r>
              <w:rPr>
                <w:color w:val="000000"/>
              </w:rPr>
              <w:t>(C)</w:t>
            </w:r>
          </w:p>
          <w:p w14:paraId="21F1E247" w14:textId="7E6F9C7B" w:rsidR="00391597" w:rsidRDefault="00391597" w:rsidP="00391597">
            <w:pPr>
              <w:pStyle w:val="Contedodamoldura"/>
              <w:spacing w:before="0" w:after="0"/>
              <w:jc w:val="center"/>
              <w:rPr>
                <w:lang w:val="en-GB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39A61F98" wp14:editId="3516DF90">
                  <wp:extent cx="2825750" cy="1724660"/>
                  <wp:effectExtent l="0" t="0" r="0" b="0"/>
                  <wp:docPr id="26" name="Imagem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m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5750" cy="17246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86" w:type="dxa"/>
          </w:tcPr>
          <w:p w14:paraId="1F13BA0D" w14:textId="33339A7C" w:rsidR="00391597" w:rsidRDefault="00391597" w:rsidP="00391597">
            <w:pPr>
              <w:spacing w:before="0" w:after="0"/>
              <w:rPr>
                <w:noProof/>
                <w:lang w:val="pt-PT" w:eastAsia="pt-PT"/>
              </w:rPr>
            </w:pPr>
            <w:r>
              <w:rPr>
                <w:color w:val="000000"/>
              </w:rPr>
              <w:t>(D)</w:t>
            </w:r>
          </w:p>
          <w:p w14:paraId="57827FCE" w14:textId="5C1F089E" w:rsidR="00391597" w:rsidRDefault="00391597" w:rsidP="00391597">
            <w:pPr>
              <w:spacing w:before="0" w:after="0"/>
              <w:jc w:val="center"/>
              <w:rPr>
                <w:lang w:val="en-GB"/>
              </w:rPr>
            </w:pPr>
            <w:r>
              <w:rPr>
                <w:noProof/>
                <w:lang w:val="en-GB" w:eastAsia="en-GB"/>
              </w:rPr>
              <w:drawing>
                <wp:inline distT="0" distB="0" distL="0" distR="0" wp14:anchorId="631930CC" wp14:editId="3703C1E8">
                  <wp:extent cx="2829600" cy="1724400"/>
                  <wp:effectExtent l="0" t="0" r="8890" b="9525"/>
                  <wp:docPr id="5" name="Imagem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m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9600" cy="172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A7ACDDC" w14:textId="5E03F1BA" w:rsidR="009D6864" w:rsidRDefault="00C642E5" w:rsidP="003765CF">
      <w:pPr>
        <w:spacing w:after="0"/>
        <w:jc w:val="both"/>
        <w:rPr>
          <w:rFonts w:cs="Times New Roman"/>
          <w:szCs w:val="24"/>
          <w:lang w:val="en-GB"/>
        </w:rPr>
      </w:pPr>
      <w:r>
        <w:rPr>
          <w:rFonts w:cs="Times New Roman"/>
          <w:b/>
          <w:szCs w:val="24"/>
          <w:lang w:val="en-GB"/>
        </w:rPr>
        <w:t>Supplementary Figure 5</w:t>
      </w:r>
      <w:r w:rsidR="00DB0E14">
        <w:rPr>
          <w:rFonts w:cs="Times New Roman"/>
          <w:szCs w:val="24"/>
          <w:lang w:val="en-GB"/>
        </w:rPr>
        <w:t xml:space="preserve">. Comparing models (A), habitat suitability for the different scenarios (B), </w:t>
      </w:r>
      <w:r w:rsidR="003765CF">
        <w:rPr>
          <w:rFonts w:cs="Times New Roman"/>
          <w:szCs w:val="24"/>
          <w:lang w:val="en-GB"/>
        </w:rPr>
        <w:t>absence-presence of the differe</w:t>
      </w:r>
      <w:r w:rsidR="0096494B">
        <w:rPr>
          <w:rFonts w:cs="Times New Roman"/>
          <w:szCs w:val="24"/>
          <w:lang w:val="en-GB"/>
        </w:rPr>
        <w:t>nt scenarios in percent of area</w:t>
      </w:r>
      <w:r w:rsidR="00DB0E14">
        <w:rPr>
          <w:rFonts w:cs="Times New Roman"/>
          <w:szCs w:val="24"/>
          <w:lang w:val="en-GB"/>
        </w:rPr>
        <w:t xml:space="preserve"> </w:t>
      </w:r>
      <w:r w:rsidR="003765CF">
        <w:rPr>
          <w:rFonts w:cs="Times New Roman"/>
          <w:szCs w:val="24"/>
          <w:lang w:val="en-GB"/>
        </w:rPr>
        <w:t xml:space="preserve">(C), </w:t>
      </w:r>
      <w:r w:rsidR="00DB0E14">
        <w:rPr>
          <w:rFonts w:cs="Times New Roman"/>
          <w:szCs w:val="24"/>
          <w:lang w:val="en-GB"/>
        </w:rPr>
        <w:t>evolution across scenarios compared with the</w:t>
      </w:r>
      <w:r w:rsidR="00FB25E6">
        <w:rPr>
          <w:rFonts w:cs="Times New Roman"/>
          <w:szCs w:val="24"/>
          <w:lang w:val="en-GB"/>
        </w:rPr>
        <w:t xml:space="preserve"> present in percent of area </w:t>
      </w:r>
      <w:r w:rsidR="00DB0E14">
        <w:rPr>
          <w:rFonts w:cs="Times New Roman"/>
          <w:szCs w:val="24"/>
          <w:lang w:val="en-GB"/>
        </w:rPr>
        <w:t>(D).</w:t>
      </w:r>
      <w:r w:rsidR="00DB0E14">
        <w:br w:type="page"/>
      </w:r>
    </w:p>
    <w:p w14:paraId="643853E6" w14:textId="77777777" w:rsidR="009D6864" w:rsidRDefault="00DB0E14">
      <w:pPr>
        <w:pStyle w:val="Bibliografia"/>
        <w:rPr>
          <w:rFonts w:cs="Times New Roman"/>
          <w:b/>
          <w:szCs w:val="24"/>
          <w:lang w:val="en-GB"/>
        </w:rPr>
      </w:pPr>
      <w:r>
        <w:rPr>
          <w:rFonts w:cs="Times New Roman"/>
          <w:b/>
          <w:szCs w:val="24"/>
          <w:lang w:val="en-GB"/>
        </w:rPr>
        <w:lastRenderedPageBreak/>
        <w:t>Supplementary References</w:t>
      </w:r>
    </w:p>
    <w:p w14:paraId="5FF79CBB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fldChar w:fldCharType="begin"/>
      </w:r>
      <w:r>
        <w:instrText>ADDIN EN.REFLIST</w:instrText>
      </w:r>
      <w:r>
        <w:fldChar w:fldCharType="separate"/>
      </w:r>
      <w:bookmarkStart w:id="1" w:name="_ENREF_1"/>
      <w:r>
        <w:rPr>
          <w:rFonts w:cs="Times New Roman"/>
          <w:szCs w:val="24"/>
          <w:lang w:val="en-GB"/>
        </w:rPr>
        <w:t xml:space="preserve">Aparicio, A., Martín-Hernanz, S., Parejo-Farnés, C., Arroyo, J., Lavergne, S., Yeşilyurt, E.B., et al. (2017). Phylogenetic reconstruction of the genus </w:t>
      </w:r>
      <w:r>
        <w:rPr>
          <w:rFonts w:cs="Times New Roman"/>
          <w:i/>
          <w:szCs w:val="24"/>
          <w:lang w:val="en-GB"/>
        </w:rPr>
        <w:t>Helianthemum</w:t>
      </w:r>
      <w:r>
        <w:rPr>
          <w:rFonts w:cs="Times New Roman"/>
          <w:szCs w:val="24"/>
          <w:lang w:val="en-GB"/>
        </w:rPr>
        <w:t xml:space="preserve"> (Cistaceae) using plastid and nuclear DNA-sequences: Systematic and evolutionary inferences. </w:t>
      </w:r>
      <w:r>
        <w:rPr>
          <w:rFonts w:cs="Times New Roman"/>
          <w:i/>
          <w:szCs w:val="24"/>
          <w:lang w:val="en-GB"/>
        </w:rPr>
        <w:t>Taxon</w:t>
      </w:r>
      <w:r>
        <w:rPr>
          <w:rFonts w:cs="Times New Roman"/>
          <w:szCs w:val="24"/>
          <w:lang w:val="en-GB"/>
        </w:rPr>
        <w:t xml:space="preserve"> 66(4)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868-885. doi: 10.12705/664.5.</w:t>
      </w:r>
    </w:p>
    <w:p w14:paraId="3944ADA4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en-GB"/>
        </w:rPr>
        <w:t xml:space="preserve">Bechlaghem, K., Allali, H., Benmehdi, H., Aissaoui, N., and Flamini, G. (2019). Chemical Analysis of the Essential Oils of Three &lt;i&gt;Cistus&lt;/i&gt; Species Growing in North-West of Algeria. </w:t>
      </w:r>
      <w:r>
        <w:rPr>
          <w:rFonts w:cs="Times New Roman"/>
          <w:i/>
          <w:szCs w:val="24"/>
          <w:lang w:val="pt-PT"/>
        </w:rPr>
        <w:t>Agriculturae Conspectus Scientificus</w:t>
      </w:r>
      <w:r>
        <w:rPr>
          <w:rFonts w:cs="Times New Roman"/>
          <w:szCs w:val="24"/>
          <w:lang w:val="pt-PT"/>
        </w:rPr>
        <w:t xml:space="preserve"> 84(3)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283-293.</w:t>
      </w:r>
    </w:p>
    <w:p w14:paraId="1AC64226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Cerrillo-Cuenca, E., and González-Cordero, A. (2011). </w:t>
      </w:r>
      <w:r>
        <w:rPr>
          <w:rFonts w:cs="Times New Roman"/>
          <w:szCs w:val="24"/>
          <w:lang w:val="en-GB"/>
        </w:rPr>
        <w:t>"Burial prehistoric caves in the interior basin of river Tagus: the complex at Canaleja gorge (Romangordo, Caceres, Spain)," in</w:t>
      </w:r>
      <w:r>
        <w:rPr>
          <w:rFonts w:cs="Times New Roman"/>
          <w:i/>
          <w:szCs w:val="24"/>
          <w:lang w:val="en-GB"/>
        </w:rPr>
        <w:t xml:space="preserve"> From the Origins: The Prehistory of the Inner Tagus Region,</w:t>
      </w:r>
      <w:r>
        <w:rPr>
          <w:rFonts w:cs="Times New Roman"/>
          <w:szCs w:val="24"/>
          <w:lang w:val="en-GB"/>
        </w:rPr>
        <w:t xml:space="preserve"> ed. Archaeopress. BAR International Series 2219), 21-42.</w:t>
      </w:r>
    </w:p>
    <w:p w14:paraId="42E46FEA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en-GB"/>
        </w:rPr>
        <w:t xml:space="preserve">Connor, S.E., Araújo, J., Boski, T., Gomes, A., Gomes, S.D., Leira, M., et al. (2021). Drought, fire and grazing precursors to large-scale pine forest decline. </w:t>
      </w:r>
      <w:r>
        <w:rPr>
          <w:rFonts w:cs="Times New Roman"/>
          <w:i/>
          <w:szCs w:val="24"/>
          <w:lang w:val="pt-PT"/>
        </w:rPr>
        <w:t>Diversity and Distributions</w:t>
      </w:r>
      <w:r>
        <w:rPr>
          <w:rFonts w:cs="Times New Roman"/>
          <w:szCs w:val="24"/>
          <w:lang w:val="pt-PT"/>
        </w:rPr>
        <w:t xml:space="preserve"> 27(7)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1138-1151. doi: https://doi.org/10.1111/ddi.13261.</w:t>
      </w:r>
    </w:p>
    <w:p w14:paraId="50A6421E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Cortés-Sánchez, M., Morales-Muñiz, A., Simón-Vallejo, M.D., Bergadà-Zapata, M.M., Delgado-Huertas, A., López-García, P., et al. </w:t>
      </w:r>
      <w:r>
        <w:rPr>
          <w:rFonts w:cs="Times New Roman"/>
          <w:szCs w:val="24"/>
          <w:lang w:val="en-GB"/>
        </w:rPr>
        <w:t xml:space="preserve">(2008). Palaeoenvironmental and cultural dynamics of the coast of Málaga (Andalusia, Spain) during the Upper Pleistocene and early Holocene. </w:t>
      </w:r>
      <w:r>
        <w:rPr>
          <w:rFonts w:cs="Times New Roman"/>
          <w:i/>
          <w:szCs w:val="24"/>
          <w:lang w:val="en-GB"/>
        </w:rPr>
        <w:t>Quaternary Science Reviews</w:t>
      </w:r>
      <w:r>
        <w:rPr>
          <w:rFonts w:cs="Times New Roman"/>
          <w:szCs w:val="24"/>
          <w:lang w:val="en-GB"/>
        </w:rPr>
        <w:t xml:space="preserve"> 27(23)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2176-2193. doi: https://doi.org/10.1016/j.quascirev.2008.03.010.</w:t>
      </w:r>
    </w:p>
    <w:p w14:paraId="15435823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en-GB"/>
        </w:rPr>
        <w:t xml:space="preserve">Dorado-Valiño, M., López-Sáez, J.A., and García-Gómez, E. (2014a). </w:t>
      </w:r>
      <w:r>
        <w:rPr>
          <w:rFonts w:cs="Times New Roman"/>
          <w:szCs w:val="24"/>
          <w:lang w:val="pt-PT"/>
        </w:rPr>
        <w:t xml:space="preserve">21. Patateros, Toledo Mountains (central Spain). </w:t>
      </w:r>
      <w:r>
        <w:rPr>
          <w:rFonts w:cs="Times New Roman"/>
          <w:i/>
          <w:szCs w:val="24"/>
          <w:lang w:val="pt-PT"/>
        </w:rPr>
        <w:t>Grana</w:t>
      </w:r>
      <w:r>
        <w:rPr>
          <w:rFonts w:cs="Times New Roman"/>
          <w:szCs w:val="24"/>
          <w:lang w:val="pt-PT"/>
        </w:rPr>
        <w:t xml:space="preserve"> 53(2)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171-173. doi: 10.1080/00173134.2014.903293.</w:t>
      </w:r>
    </w:p>
    <w:p w14:paraId="5398E505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pt-PT"/>
        </w:rPr>
        <w:t xml:space="preserve">Dorado-Valiño, M., López-Sáez, J.A., and García-Gómez, E. (2014b). 26. Valdeyernos, Toledo Mountains (central Spain). </w:t>
      </w:r>
      <w:r>
        <w:rPr>
          <w:rFonts w:cs="Times New Roman"/>
          <w:i/>
          <w:szCs w:val="24"/>
          <w:lang w:val="pt-PT"/>
        </w:rPr>
        <w:t>Grana</w:t>
      </w:r>
      <w:r>
        <w:rPr>
          <w:rFonts w:cs="Times New Roman"/>
          <w:szCs w:val="24"/>
          <w:lang w:val="pt-PT"/>
        </w:rPr>
        <w:t xml:space="preserve"> 53(4)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315-317. doi: 10.1080/00173134.2014.936490.</w:t>
      </w:r>
    </w:p>
    <w:p w14:paraId="2B96D466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Ferreira, M.R., Almeida, A.M., Quintela-Sabarís, C., Roque, N., Fernandez, P., and Ribeiro, M.M. (2021). </w:t>
      </w:r>
      <w:r>
        <w:rPr>
          <w:rFonts w:cs="Times New Roman"/>
          <w:szCs w:val="24"/>
          <w:lang w:val="en-GB"/>
        </w:rPr>
        <w:t xml:space="preserve">The role of littoral cliffs in the niche delimitation on a microendemic plant facing climate change. </w:t>
      </w:r>
      <w:r>
        <w:rPr>
          <w:rFonts w:cs="Times New Roman"/>
          <w:i/>
          <w:szCs w:val="24"/>
          <w:lang w:val="en-GB"/>
        </w:rPr>
        <w:t>PLoS One</w:t>
      </w:r>
      <w:r>
        <w:rPr>
          <w:rFonts w:cs="Times New Roman"/>
          <w:szCs w:val="24"/>
          <w:lang w:val="en-GB"/>
        </w:rPr>
        <w:t xml:space="preserve"> 16(10)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e0258976. doi: 10.1371/journal.pone.0258976.</w:t>
      </w:r>
    </w:p>
    <w:p w14:paraId="545F0FE4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 xml:space="preserve">Fletcher, W.J., Boski, T., and Moura, D. (2007). Palynological evidence for environmental and climatic change in the lower Guadiana valley, Portugal, during the last 13 000 years. </w:t>
      </w:r>
      <w:r>
        <w:rPr>
          <w:rFonts w:cs="Times New Roman"/>
          <w:i/>
          <w:szCs w:val="24"/>
          <w:lang w:val="en-GB"/>
        </w:rPr>
        <w:t>The Holocene</w:t>
      </w:r>
      <w:r>
        <w:rPr>
          <w:rFonts w:cs="Times New Roman"/>
          <w:szCs w:val="24"/>
          <w:lang w:val="en-GB"/>
        </w:rPr>
        <w:t xml:space="preserve"> 17(4)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481-494. doi: 10.1177/0959683607077027.</w:t>
      </w:r>
    </w:p>
    <w:p w14:paraId="5DF17891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en-GB"/>
        </w:rPr>
        <w:t xml:space="preserve">Franco-Múgica, F., Antón, M.G., Ruiz, J.M., Juaristi, C.M., and Ollerol, H.S. (2001). The Holocene history of Pinnus forests in the Spanish Northern Meseta. </w:t>
      </w:r>
      <w:r>
        <w:rPr>
          <w:rFonts w:cs="Times New Roman"/>
          <w:i/>
          <w:szCs w:val="24"/>
          <w:lang w:val="pt-PT"/>
        </w:rPr>
        <w:t>The Holocene</w:t>
      </w:r>
      <w:r>
        <w:rPr>
          <w:rFonts w:cs="Times New Roman"/>
          <w:szCs w:val="24"/>
          <w:lang w:val="pt-PT"/>
        </w:rPr>
        <w:t xml:space="preserve"> 11(3)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343-358. doi: 10.1191/095968301669474913.</w:t>
      </w:r>
    </w:p>
    <w:p w14:paraId="13AB2B3E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Franco-Múgica, F., García-Antón, M., Maldonado-Ruiz, J., Morla-Juaristi, C., and Sainz-Ollero, H. (2005). </w:t>
      </w:r>
      <w:r>
        <w:rPr>
          <w:rFonts w:cs="Times New Roman"/>
          <w:szCs w:val="24"/>
          <w:lang w:val="en-GB"/>
        </w:rPr>
        <w:t xml:space="preserve">Ancient pine forest on inland dunes in the Spanish northern meseta. </w:t>
      </w:r>
      <w:r>
        <w:rPr>
          <w:rFonts w:cs="Times New Roman"/>
          <w:i/>
          <w:szCs w:val="24"/>
          <w:lang w:val="en-GB"/>
        </w:rPr>
        <w:t>Quaternary Research</w:t>
      </w:r>
      <w:r>
        <w:rPr>
          <w:rFonts w:cs="Times New Roman"/>
          <w:szCs w:val="24"/>
          <w:lang w:val="en-GB"/>
        </w:rPr>
        <w:t xml:space="preserve"> 63(1)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1-14. doi: DOI: 10.1016/j.yqres.2004.08.004.</w:t>
      </w:r>
    </w:p>
    <w:p w14:paraId="28A6B7D3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 xml:space="preserve">Henaoui, I.E.-A. (2013). </w:t>
      </w:r>
      <w:r>
        <w:rPr>
          <w:rFonts w:cs="Times New Roman"/>
          <w:i/>
          <w:szCs w:val="24"/>
          <w:lang w:val="en-GB"/>
        </w:rPr>
        <w:t>Les Cistacées dans la région de Tlemcen (Nord-Ouest algérien) : aspects inflammabilité, combustibilité et cartographie.</w:t>
      </w:r>
      <w:r>
        <w:rPr>
          <w:rFonts w:cs="Times New Roman"/>
          <w:szCs w:val="24"/>
          <w:lang w:val="en-GB"/>
        </w:rPr>
        <w:t xml:space="preserve"> Université de Tlemcen.</w:t>
      </w:r>
    </w:p>
    <w:p w14:paraId="1EE6EC60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 xml:space="preserve">López-Merino, L., López-Sáez, J.A., Alba-Sánchez, F., Pérez-Díaz, S., and Carrión, J.S. (2009). 2000 years of pastoralism and fire shaping high-altitude vegetation of Sierra de Gredos in central Spain. </w:t>
      </w:r>
      <w:r>
        <w:rPr>
          <w:rFonts w:cs="Times New Roman"/>
          <w:i/>
          <w:szCs w:val="24"/>
          <w:lang w:val="en-GB"/>
        </w:rPr>
        <w:t>Review of Palaeobotany and Palynology</w:t>
      </w:r>
      <w:r>
        <w:rPr>
          <w:rFonts w:cs="Times New Roman"/>
          <w:szCs w:val="24"/>
          <w:lang w:val="en-GB"/>
        </w:rPr>
        <w:t xml:space="preserve"> 158(1)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42-51. doi: https://doi.org/10.1016/j.revpalbo.2009.07.003.</w:t>
      </w:r>
    </w:p>
    <w:p w14:paraId="1C06E6BC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lastRenderedPageBreak/>
        <w:t xml:space="preserve">López-Merino, L., Silva Sánchez, N., Kaal, J., López-Sáez, J.A., and Martínez Cortizas, A. (2012). </w:t>
      </w:r>
      <w:r>
        <w:rPr>
          <w:rFonts w:cs="Times New Roman"/>
          <w:szCs w:val="24"/>
          <w:lang w:val="en-GB"/>
        </w:rPr>
        <w:t xml:space="preserve">Post-disturbance vegetation dynamics during the Late Pleistocene and the Holocene: An example from NW Iberia. </w:t>
      </w:r>
      <w:r>
        <w:rPr>
          <w:rFonts w:cs="Times New Roman"/>
          <w:i/>
          <w:szCs w:val="24"/>
          <w:lang w:val="en-GB"/>
        </w:rPr>
        <w:t>Global and Planetary Change</w:t>
      </w:r>
      <w:r>
        <w:rPr>
          <w:rFonts w:cs="Times New Roman"/>
          <w:szCs w:val="24"/>
          <w:lang w:val="en-GB"/>
        </w:rPr>
        <w:t xml:space="preserve"> 92-93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58-70. doi: https://doi.org/10.1016/j.gloplacha.2012.04.003.</w:t>
      </w:r>
    </w:p>
    <w:p w14:paraId="4FCE7531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en-GB"/>
        </w:rPr>
        <w:t xml:space="preserve">López-Sáez, J.A., López-Merino, L., Alba-Sánchez, F., Pérez-Díaz, S., Abel-Schaad, D., and Carrión, J.S. (2010). Late Holocene ecological history of Pinus pinaster forests in the Sierra de Gredos of central Spain. </w:t>
      </w:r>
      <w:r>
        <w:rPr>
          <w:rFonts w:cs="Times New Roman"/>
          <w:i/>
          <w:szCs w:val="24"/>
          <w:lang w:val="pt-PT"/>
        </w:rPr>
        <w:t>Plant Ecology</w:t>
      </w:r>
      <w:r>
        <w:rPr>
          <w:rFonts w:cs="Times New Roman"/>
          <w:szCs w:val="24"/>
          <w:lang w:val="pt-PT"/>
        </w:rPr>
        <w:t xml:space="preserve"> 206(2)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195. doi: 10.1007/s11258-009-9634-z.</w:t>
      </w:r>
    </w:p>
    <w:p w14:paraId="3E72A9CC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pt-PT"/>
        </w:rPr>
        <w:t xml:space="preserve">López-Sáez, J.A., López-Merino, L., Mateo, M., Serrano, O., Pérez-Díaz, S., and Serrano, L. (2009). </w:t>
      </w:r>
      <w:r>
        <w:rPr>
          <w:rFonts w:cs="Times New Roman"/>
          <w:szCs w:val="24"/>
          <w:lang w:val="en-GB"/>
        </w:rPr>
        <w:t xml:space="preserve">Palaeoecological potential of the marine organic deposits of Posidonia oceanica: A case study in the NE Iberian Peninsula. </w:t>
      </w:r>
      <w:r>
        <w:rPr>
          <w:rFonts w:cs="Times New Roman"/>
          <w:i/>
          <w:szCs w:val="24"/>
          <w:lang w:val="pt-PT"/>
        </w:rPr>
        <w:t>Palaeogeography Palaeoclimatology Palaeoecology</w:t>
      </w:r>
      <w:r>
        <w:rPr>
          <w:rFonts w:cs="Times New Roman"/>
          <w:szCs w:val="24"/>
          <w:lang w:val="pt-PT"/>
        </w:rPr>
        <w:t xml:space="preserve"> 271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215-224. doi: 10.1016/j.palaeo.2008.10.020.</w:t>
      </w:r>
    </w:p>
    <w:p w14:paraId="4FE8DE83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pt-PT"/>
        </w:rPr>
        <w:t xml:space="preserve">López-Sáez, J.A., Lopez, P., Merino, L., Cerrillo-Cuenca, E., Cordero, A., and Prada Gallardo, A. (2007). Origen Prehistórico de la Dehesa en Extremadura: una Perspectiva Paleoambiental. </w:t>
      </w:r>
      <w:r>
        <w:rPr>
          <w:rFonts w:cs="Times New Roman"/>
          <w:i/>
          <w:szCs w:val="24"/>
          <w:lang w:val="pt-PT"/>
        </w:rPr>
        <w:t>Revista de estudios extremeños, ISSN 0210-2854, Vol. 63, Nº 1, 2007, pags. 493-510</w:t>
      </w:r>
      <w:r>
        <w:rPr>
          <w:rFonts w:cs="Times New Roman"/>
          <w:szCs w:val="24"/>
          <w:lang w:val="pt-PT"/>
        </w:rPr>
        <w:t xml:space="preserve"> 63.</w:t>
      </w:r>
    </w:p>
    <w:p w14:paraId="33AD148B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pt-PT"/>
        </w:rPr>
        <w:t xml:space="preserve">Luelmo-Lautenschlaeger, R., López-Sáez, J.A., and Pérez-Díaz, S. (2018a). 39. Las Lanchas, Toledo Mountains (central Spain). </w:t>
      </w:r>
      <w:r>
        <w:rPr>
          <w:rFonts w:cs="Times New Roman"/>
          <w:i/>
          <w:szCs w:val="24"/>
          <w:lang w:val="pt-PT"/>
        </w:rPr>
        <w:t>Grana</w:t>
      </w:r>
      <w:r>
        <w:rPr>
          <w:rFonts w:cs="Times New Roman"/>
          <w:szCs w:val="24"/>
          <w:lang w:val="pt-PT"/>
        </w:rPr>
        <w:t xml:space="preserve"> 57(3)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246-248. doi: 10.1080/00173134.2017.1366547.</w:t>
      </w:r>
    </w:p>
    <w:p w14:paraId="11F9E0E1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Luelmo-Lautenschlaeger, R., López-Sáez, J.A., and Pérez-Díaz, S. (2018b). </w:t>
      </w:r>
      <w:r>
        <w:rPr>
          <w:rFonts w:cs="Times New Roman"/>
          <w:szCs w:val="24"/>
          <w:lang w:val="en-GB"/>
        </w:rPr>
        <w:t xml:space="preserve">40. Botija, Toledo Mountains (central Spain). </w:t>
      </w:r>
      <w:r>
        <w:rPr>
          <w:rFonts w:cs="Times New Roman"/>
          <w:i/>
          <w:szCs w:val="24"/>
          <w:lang w:val="en-GB"/>
        </w:rPr>
        <w:t>Grana</w:t>
      </w:r>
      <w:r>
        <w:rPr>
          <w:rFonts w:cs="Times New Roman"/>
          <w:szCs w:val="24"/>
          <w:lang w:val="en-GB"/>
        </w:rPr>
        <w:t xml:space="preserve"> 57(4)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322-324. doi: 10.1080/00173134.2017.1400587.</w:t>
      </w:r>
    </w:p>
    <w:p w14:paraId="3A34DD0C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en-GB"/>
        </w:rPr>
        <w:t xml:space="preserve">Mateus, J.E. (1992). </w:t>
      </w:r>
      <w:r>
        <w:rPr>
          <w:rFonts w:cs="Times New Roman"/>
          <w:i/>
          <w:szCs w:val="24"/>
          <w:lang w:val="en-GB"/>
        </w:rPr>
        <w:t xml:space="preserve">Holocene and present-day ecosystems of the Carvalhal Region, Southwest Portugal. </w:t>
      </w:r>
      <w:r>
        <w:rPr>
          <w:rFonts w:cs="Times New Roman"/>
          <w:i/>
          <w:szCs w:val="24"/>
          <w:lang w:val="pt-PT"/>
        </w:rPr>
        <w:t>PhD thesis.</w:t>
      </w:r>
      <w:r>
        <w:rPr>
          <w:rFonts w:cs="Times New Roman"/>
          <w:szCs w:val="24"/>
          <w:lang w:val="pt-PT"/>
        </w:rPr>
        <w:t xml:space="preserve"> PhD, Universidade de Utreque.</w:t>
      </w:r>
    </w:p>
    <w:p w14:paraId="1910EFE0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Narbona, E., Guzmán, B., Arroyo, J., and Vargas, P. (2010). </w:t>
      </w:r>
      <w:r>
        <w:rPr>
          <w:rFonts w:cs="Times New Roman"/>
          <w:szCs w:val="24"/>
          <w:lang w:val="en-GB"/>
        </w:rPr>
        <w:t xml:space="preserve">Why are fruit traits of </w:t>
      </w:r>
      <w:r>
        <w:rPr>
          <w:rFonts w:cs="Times New Roman"/>
          <w:i/>
          <w:szCs w:val="24"/>
          <w:lang w:val="en-GB"/>
        </w:rPr>
        <w:t>Cistus ladanifer</w:t>
      </w:r>
      <w:r>
        <w:rPr>
          <w:rFonts w:cs="Times New Roman"/>
          <w:szCs w:val="24"/>
          <w:lang w:val="en-GB"/>
        </w:rPr>
        <w:t xml:space="preserve"> (Cistaceae) so variable: A multi-level study across the western Mediterranean region. </w:t>
      </w:r>
      <w:r>
        <w:rPr>
          <w:rFonts w:cs="Times New Roman"/>
          <w:i/>
          <w:szCs w:val="24"/>
          <w:lang w:val="en-GB"/>
        </w:rPr>
        <w:t>Perspectives in Plant Ecology, Evolution and Systematics</w:t>
      </w:r>
      <w:r>
        <w:rPr>
          <w:rFonts w:cs="Times New Roman"/>
          <w:szCs w:val="24"/>
          <w:lang w:val="en-GB"/>
        </w:rPr>
        <w:t xml:space="preserve"> 12(4)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305-315. doi: 10.1016/j.ppees.2010.06.001.</w:t>
      </w:r>
    </w:p>
    <w:p w14:paraId="39CF2809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Nocete, F., Queipo, G., Sáez, R., Nieto, J.M., Inácio, N., Bayona, M.R., et al. </w:t>
      </w:r>
      <w:r>
        <w:rPr>
          <w:rFonts w:cs="Times New Roman"/>
          <w:szCs w:val="24"/>
          <w:lang w:val="en-GB"/>
        </w:rPr>
        <w:t xml:space="preserve">(2008). The smelting quarter of Valencina de la Concepción (Seville, Spain): the specialised copper industry in a political centre of the Guadalquivir Valley during the Third millennium BC (2750–2500 BC). </w:t>
      </w:r>
      <w:r>
        <w:rPr>
          <w:rFonts w:cs="Times New Roman"/>
          <w:i/>
          <w:szCs w:val="24"/>
          <w:lang w:val="en-GB"/>
        </w:rPr>
        <w:t>Journal of Archaeological Science</w:t>
      </w:r>
      <w:r>
        <w:rPr>
          <w:rFonts w:cs="Times New Roman"/>
          <w:szCs w:val="24"/>
          <w:lang w:val="en-GB"/>
        </w:rPr>
        <w:t xml:space="preserve"> 35(3)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717-732. doi: https://doi.org/10.1016/j.jas.2007.05.019.</w:t>
      </w:r>
    </w:p>
    <w:p w14:paraId="5B3FBBEE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pt-PT"/>
        </w:rPr>
      </w:pPr>
      <w:r>
        <w:rPr>
          <w:rFonts w:cs="Times New Roman"/>
          <w:szCs w:val="24"/>
          <w:lang w:val="en-GB"/>
        </w:rPr>
        <w:t xml:space="preserve">Pons, A., and Reille, M. (1988). The holocene- and upper pleistocene pollen record from Padul (Granada, Spain): A new study. </w:t>
      </w:r>
      <w:r>
        <w:rPr>
          <w:rFonts w:cs="Times New Roman"/>
          <w:i/>
          <w:szCs w:val="24"/>
          <w:lang w:val="pt-PT"/>
        </w:rPr>
        <w:t>Palaeogeography, Palaeoclimatology, Palaeoecology</w:t>
      </w:r>
      <w:r>
        <w:rPr>
          <w:rFonts w:cs="Times New Roman"/>
          <w:szCs w:val="24"/>
          <w:lang w:val="pt-PT"/>
        </w:rPr>
        <w:t xml:space="preserve"> 66(3)</w:t>
      </w:r>
      <w:r>
        <w:rPr>
          <w:rFonts w:cs="Times New Roman"/>
          <w:b/>
          <w:szCs w:val="24"/>
          <w:lang w:val="pt-PT"/>
        </w:rPr>
        <w:t>,</w:t>
      </w:r>
      <w:r>
        <w:rPr>
          <w:rFonts w:cs="Times New Roman"/>
          <w:szCs w:val="24"/>
          <w:lang w:val="pt-PT"/>
        </w:rPr>
        <w:t xml:space="preserve"> 243-263. doi: https://doi.org/10.1016/0031-0182(88)90202-7.</w:t>
      </w:r>
    </w:p>
    <w:p w14:paraId="3719916C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pt-PT"/>
        </w:rPr>
        <w:t xml:space="preserve">Quintela-Sabarís, C., Vendramin, G.G., Castro-Fernández, D., and Isabel Fraga, M. (2011). </w:t>
      </w:r>
      <w:r>
        <w:rPr>
          <w:rFonts w:cs="Times New Roman"/>
          <w:szCs w:val="24"/>
          <w:lang w:val="en-GB"/>
        </w:rPr>
        <w:t xml:space="preserve">Chloroplast DNA phylogeography of the shrub </w:t>
      </w:r>
      <w:r>
        <w:rPr>
          <w:rFonts w:cs="Times New Roman"/>
          <w:i/>
          <w:szCs w:val="24"/>
          <w:lang w:val="en-GB"/>
        </w:rPr>
        <w:t>Cistus ladanifer</w:t>
      </w:r>
      <w:r>
        <w:rPr>
          <w:rFonts w:cs="Times New Roman"/>
          <w:szCs w:val="24"/>
          <w:lang w:val="en-GB"/>
        </w:rPr>
        <w:t xml:space="preserve"> L. (Cistaceae) in the highly diverse Western Mediterranean region. </w:t>
      </w:r>
      <w:r>
        <w:rPr>
          <w:rFonts w:cs="Times New Roman"/>
          <w:i/>
          <w:szCs w:val="24"/>
          <w:lang w:val="en-GB"/>
        </w:rPr>
        <w:t>Plant Biology</w:t>
      </w:r>
      <w:r>
        <w:rPr>
          <w:rFonts w:cs="Times New Roman"/>
          <w:szCs w:val="24"/>
          <w:lang w:val="en-GB"/>
        </w:rPr>
        <w:t xml:space="preserve"> 13(2)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391-400. doi: 10.1111/j.1438-8677.2010.00371.x.</w:t>
      </w:r>
    </w:p>
    <w:p w14:paraId="6AECAEA7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 xml:space="preserve">Robles López, S., Manzano-Rodríguez, S., Pérez-Díaz, S., and López-Sáez, J.A. (2017). 35. Labradillos mire, Gregos Range (central Spain). </w:t>
      </w:r>
      <w:r>
        <w:rPr>
          <w:rFonts w:cs="Times New Roman"/>
          <w:i/>
          <w:szCs w:val="24"/>
          <w:lang w:val="en-GB"/>
        </w:rPr>
        <w:t>Grana</w:t>
      </w:r>
      <w:r>
        <w:rPr>
          <w:rFonts w:cs="Times New Roman"/>
          <w:szCs w:val="24"/>
          <w:lang w:val="en-GB"/>
        </w:rPr>
        <w:t xml:space="preserve"> 56(5)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398-400. doi: 10.1080/00173134.2017.1282976.</w:t>
      </w:r>
    </w:p>
    <w:p w14:paraId="14F53561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 xml:space="preserve">Stevenson, A.C. (2000). The Holocene forest history of the Montes Universales, Teruel, Spain. </w:t>
      </w:r>
      <w:r>
        <w:rPr>
          <w:rFonts w:cs="Times New Roman"/>
          <w:i/>
          <w:szCs w:val="24"/>
          <w:lang w:val="en-GB"/>
        </w:rPr>
        <w:t>The Holocene</w:t>
      </w:r>
      <w:r>
        <w:rPr>
          <w:rFonts w:cs="Times New Roman"/>
          <w:szCs w:val="24"/>
          <w:lang w:val="en-GB"/>
        </w:rPr>
        <w:t xml:space="preserve"> 10(5)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603-610. doi: 10.1191/095968300670543500.</w:t>
      </w:r>
    </w:p>
    <w:p w14:paraId="1E0D95B2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lastRenderedPageBreak/>
        <w:t xml:space="preserve">van der Knaap, W.O., and van Leeuwen, J.F.N. (1995). Holocene vegetation succession and degradation as responses to climatic change and human activity in the Serra de Estrela, Portugal. </w:t>
      </w:r>
      <w:r>
        <w:rPr>
          <w:rFonts w:cs="Times New Roman"/>
          <w:i/>
          <w:szCs w:val="24"/>
          <w:lang w:val="en-GB"/>
        </w:rPr>
        <w:t>Review of Palaeobotany and Palynology</w:t>
      </w:r>
      <w:r>
        <w:rPr>
          <w:rFonts w:cs="Times New Roman"/>
          <w:szCs w:val="24"/>
          <w:lang w:val="en-GB"/>
        </w:rPr>
        <w:t xml:space="preserve"> 89(3-4)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153-211. doi: </w:t>
      </w:r>
      <w:hyperlink r:id="rId26">
        <w:r>
          <w:rPr>
            <w:rStyle w:val="LigaodeInternet"/>
            <w:rFonts w:cs="Times New Roman"/>
            <w:szCs w:val="24"/>
            <w:lang w:val="en-GB"/>
          </w:rPr>
          <w:t>http://dx.doi.org/10.1016/0034-6667(95)00048-0</w:t>
        </w:r>
      </w:hyperlink>
      <w:r>
        <w:rPr>
          <w:rFonts w:cs="Times New Roman"/>
          <w:szCs w:val="24"/>
          <w:lang w:val="en-GB"/>
        </w:rPr>
        <w:t>.</w:t>
      </w:r>
    </w:p>
    <w:p w14:paraId="0A347DC6" w14:textId="77777777" w:rsidR="009D6864" w:rsidRDefault="00DB0E14">
      <w:pPr>
        <w:spacing w:after="0"/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 xml:space="preserve">van der Knaap, W.O., and van Leeuwen, J.F.N. (1997). Late Glacial and early Holocene vegetation succession, altitudinal vegetation zonation, and climatic change in the Serra da Estrela, Portugal. </w:t>
      </w:r>
      <w:r>
        <w:rPr>
          <w:rFonts w:cs="Times New Roman"/>
          <w:i/>
          <w:szCs w:val="24"/>
          <w:lang w:val="en-GB"/>
        </w:rPr>
        <w:t>Review of Palaeobotany and Palynology</w:t>
      </w:r>
      <w:r>
        <w:rPr>
          <w:rFonts w:cs="Times New Roman"/>
          <w:szCs w:val="24"/>
          <w:lang w:val="en-GB"/>
        </w:rPr>
        <w:t xml:space="preserve"> 97(3)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239-285. doi: https://doi.org/10.1016/S0034-6667(97)00008-0.</w:t>
      </w:r>
    </w:p>
    <w:p w14:paraId="1AC9B992" w14:textId="77777777" w:rsidR="009D6864" w:rsidRDefault="00DB0E14">
      <w:pPr>
        <w:ind w:left="720" w:hanging="720"/>
        <w:jc w:val="both"/>
        <w:rPr>
          <w:rFonts w:cs="Times New Roman"/>
          <w:szCs w:val="24"/>
          <w:lang w:val="en-GB"/>
        </w:rPr>
      </w:pPr>
      <w:r>
        <w:rPr>
          <w:rFonts w:cs="Times New Roman"/>
          <w:szCs w:val="24"/>
          <w:lang w:val="en-GB"/>
        </w:rPr>
        <w:t xml:space="preserve">van der Schriek, T., Passmore, D.G., Stevenson, A.C., and Rolao, J. (2007). The palaeogeography of Mesolithic settlement-subsistence and shell midden formation in the Muge valley, Lower Tagus Basin, Portugal. </w:t>
      </w:r>
      <w:r>
        <w:rPr>
          <w:rFonts w:cs="Times New Roman"/>
          <w:i/>
          <w:szCs w:val="24"/>
          <w:lang w:val="en-GB"/>
        </w:rPr>
        <w:t>The Holocene</w:t>
      </w:r>
      <w:r>
        <w:rPr>
          <w:rFonts w:cs="Times New Roman"/>
          <w:szCs w:val="24"/>
          <w:lang w:val="en-GB"/>
        </w:rPr>
        <w:t xml:space="preserve"> 17(3)</w:t>
      </w:r>
      <w:r>
        <w:rPr>
          <w:rFonts w:cs="Times New Roman"/>
          <w:b/>
          <w:szCs w:val="24"/>
          <w:lang w:val="en-GB"/>
        </w:rPr>
        <w:t>,</w:t>
      </w:r>
      <w:r>
        <w:rPr>
          <w:rFonts w:cs="Times New Roman"/>
          <w:szCs w:val="24"/>
          <w:lang w:val="en-GB"/>
        </w:rPr>
        <w:t xml:space="preserve"> 369-385. doi: 10.1177/0959683607075839.</w:t>
      </w:r>
    </w:p>
    <w:p w14:paraId="47E0E90F" w14:textId="77777777" w:rsidR="009D6864" w:rsidRDefault="009D6864">
      <w:pPr>
        <w:rPr>
          <w:rFonts w:ascii="Calibri" w:hAnsi="Calibri" w:cs="Calibri"/>
          <w:szCs w:val="24"/>
          <w:lang w:val="en-GB"/>
        </w:rPr>
      </w:pPr>
    </w:p>
    <w:bookmarkStart w:id="2" w:name="_ENREF_29"/>
    <w:bookmarkStart w:id="3" w:name="_ENREF_28"/>
    <w:bookmarkStart w:id="4" w:name="_ENREF_27"/>
    <w:bookmarkStart w:id="5" w:name="_ENREF_26"/>
    <w:bookmarkStart w:id="6" w:name="_ENREF_25"/>
    <w:bookmarkStart w:id="7" w:name="_ENREF_24"/>
    <w:bookmarkStart w:id="8" w:name="_ENREF_23"/>
    <w:bookmarkStart w:id="9" w:name="_ENREF_22"/>
    <w:bookmarkStart w:id="10" w:name="_ENREF_21"/>
    <w:bookmarkStart w:id="11" w:name="_ENREF_20"/>
    <w:bookmarkStart w:id="12" w:name="_ENREF_19"/>
    <w:bookmarkStart w:id="13" w:name="_ENREF_18"/>
    <w:bookmarkStart w:id="14" w:name="_ENREF_17"/>
    <w:bookmarkStart w:id="15" w:name="_ENREF_16"/>
    <w:bookmarkStart w:id="16" w:name="_ENREF_15"/>
    <w:bookmarkStart w:id="17" w:name="_ENREF_14"/>
    <w:bookmarkStart w:id="18" w:name="_ENREF_13"/>
    <w:bookmarkStart w:id="19" w:name="_ENREF_12"/>
    <w:bookmarkStart w:id="20" w:name="_ENREF_11"/>
    <w:bookmarkStart w:id="21" w:name="_ENREF_10"/>
    <w:bookmarkStart w:id="22" w:name="_ENREF_9"/>
    <w:bookmarkStart w:id="23" w:name="_ENREF_8"/>
    <w:bookmarkStart w:id="24" w:name="_ENREF_7"/>
    <w:bookmarkStart w:id="25" w:name="_ENREF_6"/>
    <w:bookmarkStart w:id="26" w:name="_ENREF_5"/>
    <w:bookmarkStart w:id="27" w:name="_ENREF_4"/>
    <w:bookmarkStart w:id="28" w:name="_ENREF_3"/>
    <w:bookmarkStart w:id="29" w:name="_ENREF_2"/>
    <w:p w14:paraId="1A59C82E" w14:textId="77777777" w:rsidR="009D6864" w:rsidRDefault="00DB0E14">
      <w:pPr>
        <w:spacing w:after="0"/>
        <w:rPr>
          <w:rFonts w:cs="Times New Roman"/>
          <w:szCs w:val="24"/>
          <w:lang w:val="en-GB"/>
        </w:rPr>
      </w:pPr>
      <w:r>
        <w:fldChar w:fldCharType="end"/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sectPr w:rsidR="009D6864" w:rsidSect="00437E07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pgSz w:w="12240" w:h="15840"/>
      <w:pgMar w:top="1134" w:right="1134" w:bottom="1134" w:left="1134" w:header="720" w:footer="720" w:gutter="0"/>
      <w:pgNumType w:start="4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A958DB" w14:textId="77777777" w:rsidR="007910AE" w:rsidRDefault="007910AE">
      <w:pPr>
        <w:spacing w:before="0" w:after="0"/>
      </w:pPr>
      <w:r>
        <w:separator/>
      </w:r>
    </w:p>
  </w:endnote>
  <w:endnote w:type="continuationSeparator" w:id="0">
    <w:p w14:paraId="567B5E54" w14:textId="77777777" w:rsidR="007910AE" w:rsidRDefault="007910A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16A89E" w14:textId="77777777" w:rsidR="0027112D" w:rsidRDefault="0027112D">
    <w:pPr>
      <w:rPr>
        <w:color w:val="C00000"/>
        <w:szCs w:val="24"/>
      </w:rPr>
    </w:pPr>
    <w:r>
      <w:rPr>
        <w:noProof/>
        <w:color w:val="C00000"/>
        <w:szCs w:val="24"/>
        <w:lang w:val="en-GB" w:eastAsia="en-GB"/>
      </w:rPr>
      <mc:AlternateContent>
        <mc:Choice Requires="wps">
          <w:drawing>
            <wp:anchor distT="0" distB="0" distL="0" distR="0" simplePos="0" relativeHeight="3" behindDoc="1" locked="0" layoutInCell="0" allowOverlap="1" wp14:anchorId="04E1F238" wp14:editId="6B1611C7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41630"/>
              <wp:effectExtent l="0" t="0" r="0" b="0"/>
              <wp:wrapNone/>
              <wp:docPr id="2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08760" cy="3416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9774B98" w14:textId="6D9BE1C9" w:rsidR="0027112D" w:rsidRDefault="0027112D">
                          <w:pPr>
                            <w:pStyle w:val="Contedodamoldura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  <w:szCs w:val="4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 w:rsidR="005B738B">
                            <w:rPr>
                              <w:noProof/>
                              <w:color w:val="000000"/>
                              <w:szCs w:val="40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anchor="t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04E1F238" id="Text Box 1" o:spid="_x0000_s1028" style="position:absolute;margin-left:67.6pt;margin-top:0;width:118.8pt;height:26.9pt;z-index:-503316477;visibility:visible;mso-wrap-style:square;mso-wrap-distance-left:0;mso-wrap-distance-top:0;mso-wrap-distance-right:0;mso-wrap-distance-bottom:0;mso-position-horizontal:right;mso-position-horizontal-relative:margin;mso-position-vertical:top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" o:allowincell="f" filled="f" stroked="f" strokeweight=".5pt">
              <v:textbox style="mso-fit-shape-to-text:t">
                <w:txbxContent>
                  <w:p w14:paraId="69774B98" w14:textId="6D9BE1C9" w:rsidR="0027112D" w:rsidRDefault="0027112D">
                    <w:pPr>
                      <w:pStyle w:val="Contedodamoldura"/>
                      <w:jc w:val="right"/>
                      <w:rPr>
                        <w:color w:val="000000" w:themeColor="text1"/>
                        <w:szCs w:val="40"/>
                      </w:rPr>
                    </w:pPr>
                    <w:r>
                      <w:rPr>
                        <w:color w:val="000000"/>
                        <w:szCs w:val="40"/>
                      </w:rPr>
                      <w:fldChar w:fldCharType="begin"/>
                    </w:r>
                    <w:r>
                      <w:rPr>
                        <w:color w:val="000000"/>
                        <w:szCs w:val="40"/>
                      </w:rPr>
                      <w:instrText xml:space="preserve"> PAGE </w:instrText>
                    </w:r>
                    <w:r>
                      <w:rPr>
                        <w:color w:val="000000"/>
                        <w:szCs w:val="40"/>
                      </w:rPr>
                      <w:fldChar w:fldCharType="separate"/>
                    </w:r>
                    <w:r w:rsidR="005B738B">
                      <w:rPr>
                        <w:noProof/>
                        <w:color w:val="000000"/>
                        <w:szCs w:val="40"/>
                      </w:rPr>
                      <w:t>2</w:t>
                    </w:r>
                    <w:r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618471" w14:textId="77777777" w:rsidR="0027112D" w:rsidRDefault="0027112D">
    <w:pPr>
      <w:rPr>
        <w:b/>
        <w:sz w:val="20"/>
        <w:szCs w:val="24"/>
      </w:rPr>
    </w:pPr>
    <w:r>
      <w:rPr>
        <w:b/>
        <w:noProof/>
        <w:sz w:val="20"/>
        <w:szCs w:val="24"/>
        <w:lang w:val="en-GB" w:eastAsia="en-GB"/>
      </w:rPr>
      <mc:AlternateContent>
        <mc:Choice Requires="wps">
          <w:drawing>
            <wp:anchor distT="0" distB="0" distL="0" distR="0" simplePos="0" relativeHeight="2" behindDoc="1" locked="0" layoutInCell="0" allowOverlap="1" wp14:anchorId="48B4EB6A" wp14:editId="5FB81F8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4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08760" cy="3956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1A116D0B" w14:textId="77777777" w:rsidR="0027112D" w:rsidRDefault="0027112D">
                          <w:pPr>
                            <w:pStyle w:val="Contedodamoldura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  <w:szCs w:val="4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  <w:szCs w:val="40"/>
                            </w:rPr>
                            <w:t>0</w: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anchor="t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rect w14:anchorId="48B4EB6A" id="Text Box 56" o:spid="_x0000_s1031" style="position:absolute;margin-left:67.6pt;margin-top:0;width:118.8pt;height:31.15pt;z-index:-503316478;visibility:visible;mso-wrap-style:square;mso-wrap-distance-left:0;mso-wrap-distance-top:0;mso-wrap-distance-right:0;mso-wrap-distance-bottom:0;mso-position-horizontal:right;mso-position-horizontal-relative:margin;mso-position-vertical:top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" o:allowincell="f" filled="f" stroked="f" strokeweight=".5pt">
              <v:textbox style="mso-fit-shape-to-text:t">
                <w:txbxContent>
                  <w:p w14:paraId="1A116D0B" w14:textId="77777777" w:rsidR="0027112D" w:rsidRDefault="0027112D">
                    <w:pPr>
                      <w:pStyle w:val="Contedodamoldura"/>
                      <w:jc w:val="right"/>
                      <w:rPr>
                        <w:color w:val="000000" w:themeColor="text1"/>
                        <w:szCs w:val="40"/>
                      </w:rPr>
                    </w:pPr>
                    <w:r>
                      <w:rPr>
                        <w:color w:val="000000"/>
                        <w:szCs w:val="40"/>
                      </w:rPr>
                      <w:fldChar w:fldCharType="begin"/>
                    </w:r>
                    <w:r>
                      <w:rPr>
                        <w:color w:val="000000"/>
                        <w:szCs w:val="40"/>
                      </w:rPr>
                      <w:instrText xml:space="preserve"> PAGE </w:instrText>
                    </w:r>
                    <w:r>
                      <w:rPr>
                        <w:color w:val="000000"/>
                        <w:szCs w:val="40"/>
                      </w:rPr>
                      <w:fldChar w:fldCharType="separate"/>
                    </w:r>
                    <w:r>
                      <w:rPr>
                        <w:color w:val="000000"/>
                        <w:szCs w:val="40"/>
                      </w:rPr>
                      <w:t>0</w:t>
                    </w:r>
                    <w:r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9071E" w14:textId="73E3C6B8" w:rsidR="0027112D" w:rsidRDefault="0027112D" w:rsidP="0027112D">
    <w:pPr>
      <w:pStyle w:val="Rodap"/>
      <w:jc w:val="right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EA153" w14:textId="77777777" w:rsidR="0027112D" w:rsidRDefault="0027112D"/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2402871"/>
      <w:docPartObj>
        <w:docPartGallery w:val="Page Numbers (Bottom of Page)"/>
        <w:docPartUnique/>
      </w:docPartObj>
    </w:sdtPr>
    <w:sdtEndPr/>
    <w:sdtContent>
      <w:p w14:paraId="4F24E835" w14:textId="41BD9E06" w:rsidR="0027112D" w:rsidRDefault="0027112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738B" w:rsidRPr="005B738B">
          <w:rPr>
            <w:noProof/>
            <w:lang w:val="pt-PT"/>
          </w:rPr>
          <w:t>3</w:t>
        </w:r>
        <w:r>
          <w:fldChar w:fldCharType="end"/>
        </w:r>
      </w:p>
    </w:sdtContent>
  </w:sdt>
  <w:p w14:paraId="1E57AAA5" w14:textId="77777777" w:rsidR="0027112D" w:rsidRDefault="0027112D"/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369FA1" w14:textId="77777777" w:rsidR="0027112D" w:rsidRDefault="0027112D">
    <w:pPr>
      <w:rPr>
        <w:color w:val="C00000"/>
        <w:szCs w:val="24"/>
      </w:rPr>
    </w:pPr>
    <w:r>
      <w:rPr>
        <w:noProof/>
        <w:color w:val="C00000"/>
        <w:szCs w:val="24"/>
        <w:lang w:val="en-GB" w:eastAsia="en-GB"/>
      </w:rPr>
      <mc:AlternateContent>
        <mc:Choice Requires="wps">
          <w:drawing>
            <wp:anchor distT="0" distB="0" distL="0" distR="0" simplePos="0" relativeHeight="20" behindDoc="1" locked="0" layoutInCell="0" allowOverlap="1" wp14:anchorId="4BAF204A" wp14:editId="1876A44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41630"/>
              <wp:effectExtent l="0" t="0" r="0" b="0"/>
              <wp:wrapNone/>
              <wp:docPr id="28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08760" cy="3416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8CCBC77" w14:textId="4AB01683" w:rsidR="0027112D" w:rsidRDefault="0027112D">
                          <w:pPr>
                            <w:pStyle w:val="Contedodamoldura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  <w:szCs w:val="4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 w:rsidR="005B738B">
                            <w:rPr>
                              <w:noProof/>
                              <w:color w:val="000000"/>
                              <w:szCs w:val="40"/>
                            </w:rPr>
                            <w:t>10</w: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anchor="t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4BAF204A" id="Text Box 5" o:spid="_x0000_s1030" style="position:absolute;margin-left:67.6pt;margin-top:0;width:118.8pt;height:26.9pt;z-index:-503316460;visibility:visible;mso-wrap-style:square;mso-wrap-distance-left:0;mso-wrap-distance-top:0;mso-wrap-distance-right:0;mso-wrap-distance-bottom:0;mso-position-horizontal:right;mso-position-horizontal-relative:margin;mso-position-vertical:top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" o:allowincell="f" filled="f" stroked="f" strokeweight=".5pt">
              <v:textbox style="mso-fit-shape-to-text:t">
                <w:txbxContent>
                  <w:p w14:paraId="38CCBC77" w14:textId="4AB01683" w:rsidR="0027112D" w:rsidRDefault="0027112D">
                    <w:pPr>
                      <w:pStyle w:val="Contedodamoldura"/>
                      <w:jc w:val="right"/>
                      <w:rPr>
                        <w:color w:val="000000" w:themeColor="text1"/>
                        <w:szCs w:val="40"/>
                      </w:rPr>
                    </w:pPr>
                    <w:r>
                      <w:rPr>
                        <w:color w:val="000000"/>
                        <w:szCs w:val="40"/>
                      </w:rPr>
                      <w:fldChar w:fldCharType="begin"/>
                    </w:r>
                    <w:r>
                      <w:rPr>
                        <w:color w:val="000000"/>
                        <w:szCs w:val="40"/>
                      </w:rPr>
                      <w:instrText xml:space="preserve"> PAGE </w:instrText>
                    </w:r>
                    <w:r>
                      <w:rPr>
                        <w:color w:val="000000"/>
                        <w:szCs w:val="40"/>
                      </w:rPr>
                      <w:fldChar w:fldCharType="separate"/>
                    </w:r>
                    <w:r w:rsidR="005B738B">
                      <w:rPr>
                        <w:noProof/>
                        <w:color w:val="000000"/>
                        <w:szCs w:val="40"/>
                      </w:rPr>
                      <w:t>10</w:t>
                    </w:r>
                    <w:r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82C15B" w14:textId="77777777" w:rsidR="0027112D" w:rsidRDefault="0027112D">
    <w:pPr>
      <w:rPr>
        <w:b/>
        <w:sz w:val="20"/>
        <w:szCs w:val="24"/>
      </w:rPr>
    </w:pPr>
    <w:r>
      <w:rPr>
        <w:b/>
        <w:noProof/>
        <w:sz w:val="20"/>
        <w:szCs w:val="24"/>
        <w:lang w:val="en-GB" w:eastAsia="en-GB"/>
      </w:rPr>
      <mc:AlternateContent>
        <mc:Choice Requires="wps">
          <w:drawing>
            <wp:anchor distT="0" distB="0" distL="0" distR="0" simplePos="0" relativeHeight="15" behindDoc="1" locked="0" layoutInCell="0" allowOverlap="1" wp14:anchorId="1A891921" wp14:editId="1895B8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41630"/>
              <wp:effectExtent l="0" t="0" r="0" b="0"/>
              <wp:wrapNone/>
              <wp:docPr id="30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508760" cy="3416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06DA51CB" w14:textId="2E5FE997" w:rsidR="0027112D" w:rsidRDefault="0027112D">
                          <w:pPr>
                            <w:pStyle w:val="Contedodamoldura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  <w:szCs w:val="40"/>
                            </w:rPr>
                            <w:instrText xml:space="preserve"> PAGE </w:instrTex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 w:rsidR="005B738B">
                            <w:rPr>
                              <w:noProof/>
                              <w:color w:val="000000"/>
                              <w:szCs w:val="40"/>
                            </w:rPr>
                            <w:t>11</w:t>
                          </w:r>
                          <w:r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anchor="t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1A891921" id="Text Box 4" o:spid="_x0000_s1031" style="position:absolute;margin-left:67.6pt;margin-top:0;width:118.8pt;height:26.9pt;z-index:-503316465;visibility:visible;mso-wrap-style:square;mso-wrap-distance-left:0;mso-wrap-distance-top:0;mso-wrap-distance-right:0;mso-wrap-distance-bottom:0;mso-position-horizontal:right;mso-position-horizontal-relative:margin;mso-position-vertical:top;mso-position-vertical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" o:allowincell="f" filled="f" stroked="f" strokeweight=".5pt">
              <v:textbox style="mso-fit-shape-to-text:t">
                <w:txbxContent>
                  <w:p w14:paraId="06DA51CB" w14:textId="2E5FE997" w:rsidR="0027112D" w:rsidRDefault="0027112D">
                    <w:pPr>
                      <w:pStyle w:val="Contedodamoldura"/>
                      <w:jc w:val="right"/>
                      <w:rPr>
                        <w:color w:val="000000" w:themeColor="text1"/>
                        <w:szCs w:val="40"/>
                      </w:rPr>
                    </w:pPr>
                    <w:r>
                      <w:rPr>
                        <w:color w:val="000000"/>
                        <w:szCs w:val="40"/>
                      </w:rPr>
                      <w:fldChar w:fldCharType="begin"/>
                    </w:r>
                    <w:r>
                      <w:rPr>
                        <w:color w:val="000000"/>
                        <w:szCs w:val="40"/>
                      </w:rPr>
                      <w:instrText xml:space="preserve"> PAGE </w:instrText>
                    </w:r>
                    <w:r>
                      <w:rPr>
                        <w:color w:val="000000"/>
                        <w:szCs w:val="40"/>
                      </w:rPr>
                      <w:fldChar w:fldCharType="separate"/>
                    </w:r>
                    <w:r w:rsidR="005B738B">
                      <w:rPr>
                        <w:noProof/>
                        <w:color w:val="000000"/>
                        <w:szCs w:val="40"/>
                      </w:rPr>
                      <w:t>11</w:t>
                    </w:r>
                    <w:r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0EC7C" w14:textId="522066E4" w:rsidR="00437E07" w:rsidRDefault="00437E07" w:rsidP="0027112D">
    <w:pPr>
      <w:pStyle w:val="Rodap"/>
      <w:jc w:val="right"/>
    </w:pPr>
    <w: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9CE09C" w14:textId="77777777" w:rsidR="007910AE" w:rsidRDefault="007910AE">
      <w:pPr>
        <w:spacing w:before="0" w:after="0"/>
      </w:pPr>
      <w:r>
        <w:separator/>
      </w:r>
    </w:p>
  </w:footnote>
  <w:footnote w:type="continuationSeparator" w:id="0">
    <w:p w14:paraId="3B2A620C" w14:textId="77777777" w:rsidR="007910AE" w:rsidRDefault="007910AE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708A13" w14:textId="77777777" w:rsidR="0027112D" w:rsidRPr="00AD189C" w:rsidRDefault="0027112D" w:rsidP="00AD189C">
    <w:pPr>
      <w:jc w:val="right"/>
      <w:rPr>
        <w:rFonts w:cs="Times New Roman"/>
        <w:i/>
      </w:rPr>
    </w:pPr>
    <w:r>
      <w:rPr>
        <w:rFonts w:cs="Times New Roman"/>
      </w:rPr>
      <w:tab/>
    </w:r>
    <w:r>
      <w:rPr>
        <w:rFonts w:cs="Times New Roman"/>
      </w:rPr>
      <w:tab/>
    </w:r>
    <w:r w:rsidRPr="00AD189C">
      <w:rPr>
        <w:rFonts w:cs="Times New Roman"/>
        <w:i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072DC" w14:textId="77777777" w:rsidR="0027112D" w:rsidRDefault="0027112D">
    <w:r>
      <w:rPr>
        <w:noProof/>
        <w:lang w:val="en-GB" w:eastAsia="en-GB"/>
      </w:rPr>
      <w:drawing>
        <wp:inline distT="0" distB="0" distL="0" distR="0" wp14:anchorId="359EEFC3" wp14:editId="2D60E4A2">
          <wp:extent cx="1382395" cy="497205"/>
          <wp:effectExtent l="0" t="0" r="0" b="0"/>
          <wp:docPr id="1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7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382395" cy="4972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</w:rP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F0E777" w14:textId="77777777" w:rsidR="0027112D" w:rsidRDefault="0027112D">
    <w:r>
      <w:rPr>
        <w:noProof/>
        <w:lang w:val="en-GB" w:eastAsia="en-GB"/>
      </w:rPr>
      <w:drawing>
        <wp:inline distT="0" distB="0" distL="0" distR="0" wp14:anchorId="792FD7B1" wp14:editId="3B728E06">
          <wp:extent cx="1382395" cy="497205"/>
          <wp:effectExtent l="0" t="0" r="0" b="0"/>
          <wp:docPr id="6" name="Imagem1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m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382395" cy="4972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b/>
      </w:rPr>
      <w:tab/>
    </w:r>
    <w:r>
      <w:tab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83FCE1" w14:textId="532817C4" w:rsidR="0027112D" w:rsidRPr="00AD189C" w:rsidRDefault="0027112D" w:rsidP="00AD189C">
    <w:pPr>
      <w:jc w:val="right"/>
      <w:rPr>
        <w:i/>
      </w:rPr>
    </w:pPr>
    <w:r>
      <w:rPr>
        <w:b/>
      </w:rPr>
      <w:tab/>
    </w:r>
    <w:r>
      <w:tab/>
    </w:r>
    <w:r w:rsidRPr="00AD189C">
      <w:rPr>
        <w:i/>
      </w:rPr>
      <w:t>Supplementary Material</w:t>
    </w: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566DF" w14:textId="77777777" w:rsidR="0027112D" w:rsidRPr="00AD189C" w:rsidRDefault="0027112D" w:rsidP="00AD189C">
    <w:pPr>
      <w:jc w:val="right"/>
      <w:rPr>
        <w:rFonts w:cs="Times New Roman"/>
        <w:i/>
      </w:rPr>
    </w:pPr>
    <w:r>
      <w:rPr>
        <w:rFonts w:cs="Times New Roman"/>
      </w:rPr>
      <w:tab/>
    </w:r>
    <w:r>
      <w:rPr>
        <w:rFonts w:cs="Times New Roman"/>
      </w:rPr>
      <w:tab/>
    </w:r>
    <w:r w:rsidRPr="00AD189C">
      <w:rPr>
        <w:rFonts w:cs="Times New Roman"/>
        <w:i/>
      </w:rPr>
      <w:t>Supplementary Material</w:t>
    </w: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AE6D50" w14:textId="0C4E6305" w:rsidR="0027112D" w:rsidRPr="00AD189C" w:rsidRDefault="0027112D" w:rsidP="00AD189C">
    <w:pPr>
      <w:pStyle w:val="Cabealho"/>
      <w:jc w:val="right"/>
      <w:rPr>
        <w:b w:val="0"/>
        <w:i/>
      </w:rPr>
    </w:pPr>
    <w:r w:rsidRPr="00AD189C">
      <w:rPr>
        <w:b w:val="0"/>
        <w:i/>
      </w:rPr>
      <w:t>Supplementary Material</w:t>
    </w: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164E5" w14:textId="4A505FD3" w:rsidR="0027112D" w:rsidRDefault="0027112D" w:rsidP="00AD189C">
    <w:pPr>
      <w:jc w:val="right"/>
    </w:pPr>
    <w:r>
      <w:rPr>
        <w:b/>
      </w:rPr>
      <w:tab/>
    </w:r>
    <w:r>
      <w:tab/>
    </w:r>
    <w:r w:rsidRPr="00AD189C">
      <w:rPr>
        <w:i/>
      </w:rPr>
      <w:t>Supplementary Material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E02FD6"/>
    <w:multiLevelType w:val="multilevel"/>
    <w:tmpl w:val="D5829C5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303B757E"/>
    <w:multiLevelType w:val="multilevel"/>
    <w:tmpl w:val="51F46B9A"/>
    <w:lvl w:ilvl="0">
      <w:start w:val="1"/>
      <w:numFmt w:val="decimal"/>
      <w:pStyle w:val="Cabealho1"/>
      <w:lvlText w:val="%1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pStyle w:val="Cabealho3"/>
      <w:lvlText w:val="%1.%2.%3"/>
      <w:lvlJc w:val="left"/>
      <w:pPr>
        <w:tabs>
          <w:tab w:val="num" w:pos="567"/>
        </w:tabs>
        <w:ind w:left="567" w:hanging="567"/>
      </w:p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</w:lvl>
  </w:abstractNum>
  <w:abstractNum w:abstractNumId="2" w15:restartNumberingAfterBreak="0">
    <w:nsid w:val="37F90637"/>
    <w:multiLevelType w:val="multilevel"/>
    <w:tmpl w:val="412A361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C6D1CA1"/>
    <w:multiLevelType w:val="multilevel"/>
    <w:tmpl w:val="212AC664"/>
    <w:lvl w:ilvl="0">
      <w:start w:val="1"/>
      <w:numFmt w:val="bullet"/>
      <w:pStyle w:val="PargrafodaLista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autoHyphenation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864"/>
    <w:rsid w:val="000407B0"/>
    <w:rsid w:val="00082A2A"/>
    <w:rsid w:val="0011154F"/>
    <w:rsid w:val="001415CE"/>
    <w:rsid w:val="0027112D"/>
    <w:rsid w:val="00291E2C"/>
    <w:rsid w:val="00316CEF"/>
    <w:rsid w:val="003765CF"/>
    <w:rsid w:val="00376A91"/>
    <w:rsid w:val="00391597"/>
    <w:rsid w:val="00437E07"/>
    <w:rsid w:val="005318D9"/>
    <w:rsid w:val="005B738B"/>
    <w:rsid w:val="005E2F42"/>
    <w:rsid w:val="00603D4A"/>
    <w:rsid w:val="006058C3"/>
    <w:rsid w:val="006F032C"/>
    <w:rsid w:val="007910AE"/>
    <w:rsid w:val="00854088"/>
    <w:rsid w:val="008F7873"/>
    <w:rsid w:val="0096494B"/>
    <w:rsid w:val="009D6864"/>
    <w:rsid w:val="00A04891"/>
    <w:rsid w:val="00A34E24"/>
    <w:rsid w:val="00AD189C"/>
    <w:rsid w:val="00B041EA"/>
    <w:rsid w:val="00B1529C"/>
    <w:rsid w:val="00B7095E"/>
    <w:rsid w:val="00B771E2"/>
    <w:rsid w:val="00C32A1D"/>
    <w:rsid w:val="00C642E5"/>
    <w:rsid w:val="00C831A7"/>
    <w:rsid w:val="00CD4FED"/>
    <w:rsid w:val="00D52861"/>
    <w:rsid w:val="00D62D51"/>
    <w:rsid w:val="00DB0E14"/>
    <w:rsid w:val="00E66711"/>
    <w:rsid w:val="00EB5D55"/>
    <w:rsid w:val="00EC431B"/>
    <w:rsid w:val="00F20A7F"/>
    <w:rsid w:val="00F24EA5"/>
    <w:rsid w:val="00F829A1"/>
    <w:rsid w:val="00F91A2C"/>
    <w:rsid w:val="00FB25E6"/>
    <w:rsid w:val="00FF310C"/>
    <w:rsid w:val="00FF5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B4881B"/>
  <w15:docId w15:val="{1CCDB614-4A8F-4F5F-9B1E-E6F6D8141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/>
    </w:pPr>
    <w:rPr>
      <w:rFonts w:ascii="Times New Roman" w:hAnsi="Times New Roman"/>
      <w:sz w:val="24"/>
    </w:rPr>
  </w:style>
  <w:style w:type="paragraph" w:styleId="Cabealho1">
    <w:name w:val="heading 1"/>
    <w:basedOn w:val="PargrafodaLista"/>
    <w:next w:val="Normal"/>
    <w:link w:val="Cabealho1Carter"/>
    <w:uiPriority w:val="2"/>
    <w:qFormat/>
    <w:rsid w:val="00AB6715"/>
    <w:pPr>
      <w:numPr>
        <w:numId w:val="2"/>
      </w:numPr>
      <w:spacing w:before="240" w:after="120"/>
      <w:contextualSpacing w:val="0"/>
      <w:outlineLvl w:val="0"/>
    </w:pPr>
    <w:rPr>
      <w:b/>
    </w:rPr>
  </w:style>
  <w:style w:type="paragraph" w:styleId="Cabealho2">
    <w:name w:val="heading 2"/>
    <w:basedOn w:val="Cabealho1"/>
    <w:next w:val="Normal"/>
    <w:link w:val="Cabealho2Carter"/>
    <w:qFormat/>
    <w:rsid w:val="00AB6715"/>
    <w:pPr>
      <w:spacing w:after="200"/>
      <w:outlineLvl w:val="1"/>
    </w:pPr>
  </w:style>
  <w:style w:type="paragraph" w:styleId="Cabealho3">
    <w:name w:val="heading 3"/>
    <w:basedOn w:val="Normal"/>
    <w:next w:val="Normal"/>
    <w:link w:val="Cabealho3Carter"/>
    <w:qFormat/>
    <w:rsid w:val="00AB6715"/>
    <w:pPr>
      <w:keepNext/>
      <w:keepLines/>
      <w:numPr>
        <w:ilvl w:val="2"/>
        <w:numId w:val="2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Cabealho4">
    <w:name w:val="heading 4"/>
    <w:basedOn w:val="Cabealho3"/>
    <w:next w:val="Normal"/>
    <w:link w:val="Cabealho4Carter"/>
    <w:qFormat/>
    <w:rsid w:val="00AB6715"/>
    <w:pPr>
      <w:outlineLvl w:val="3"/>
    </w:pPr>
    <w:rPr>
      <w:iCs/>
    </w:rPr>
  </w:style>
  <w:style w:type="paragraph" w:styleId="Cabealho5">
    <w:name w:val="heading 5"/>
    <w:basedOn w:val="Cabealho4"/>
    <w:next w:val="Normal"/>
    <w:link w:val="Cabealho5Carter"/>
    <w:uiPriority w:val="2"/>
    <w:qFormat/>
    <w:rsid w:val="00AB6715"/>
    <w:pPr>
      <w:outlineLvl w:val="4"/>
    </w:p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uiPriority w:val="2"/>
    <w:qFormat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Cabealho2Carter">
    <w:name w:val="Cabeçalho 2 Caráter"/>
    <w:basedOn w:val="Tipodeletrapredefinidodopargrafo"/>
    <w:link w:val="Cabealho2"/>
    <w:uiPriority w:val="2"/>
    <w:qFormat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SubttuloCarter">
    <w:name w:val="Subtítulo Caráter"/>
    <w:basedOn w:val="Tipodeletrapredefinidodopargrafo"/>
    <w:link w:val="Subttulo"/>
    <w:uiPriority w:val="99"/>
    <w:qFormat/>
    <w:rsid w:val="00AB6715"/>
    <w:rPr>
      <w:rFonts w:ascii="Times New Roman" w:hAnsi="Times New Roman" w:cs="Times New Roman"/>
      <w:b/>
      <w:sz w:val="24"/>
      <w:szCs w:val="24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qFormat/>
    <w:rsid w:val="00AB6715"/>
    <w:rPr>
      <w:rFonts w:ascii="Tahoma" w:hAnsi="Tahoma" w:cs="Tahoma"/>
      <w:sz w:val="16"/>
      <w:szCs w:val="16"/>
    </w:rPr>
  </w:style>
  <w:style w:type="character" w:styleId="TtulodoLivro">
    <w:name w:val="Book Title"/>
    <w:basedOn w:val="Tipodeletrapredefinidodopar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character" w:styleId="Refdecomentrio">
    <w:name w:val="annotation reference"/>
    <w:basedOn w:val="Tipodeletrapredefinidodopargrafo"/>
    <w:uiPriority w:val="99"/>
    <w:semiHidden/>
    <w:unhideWhenUsed/>
    <w:qFormat/>
    <w:rsid w:val="00AB6715"/>
    <w:rPr>
      <w:sz w:val="16"/>
      <w:szCs w:val="16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qFormat/>
    <w:rsid w:val="00AB6715"/>
    <w:rPr>
      <w:rFonts w:ascii="Times New Roman" w:hAnsi="Times New Roman"/>
      <w:sz w:val="20"/>
      <w:szCs w:val="20"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qFormat/>
    <w:rsid w:val="00AB6715"/>
    <w:rPr>
      <w:rFonts w:ascii="Times New Roman" w:hAnsi="Times New Roman"/>
      <w:b/>
      <w:bCs/>
      <w:sz w:val="20"/>
      <w:szCs w:val="20"/>
    </w:rPr>
  </w:style>
  <w:style w:type="character" w:styleId="nfase">
    <w:name w:val="Emphasis"/>
    <w:basedOn w:val="Tipodeletrapredefinidodopargrafo"/>
    <w:uiPriority w:val="20"/>
    <w:qFormat/>
    <w:rsid w:val="00AB6715"/>
    <w:rPr>
      <w:rFonts w:ascii="Times New Roman" w:hAnsi="Times New Roman"/>
      <w:i/>
      <w:iCs/>
    </w:rPr>
  </w:style>
  <w:style w:type="character" w:customStyle="1" w:styleId="Caracteresdanotafinal">
    <w:name w:val="Caracteres da nota final"/>
    <w:basedOn w:val="Tipodeletrapredefinidodopargrafo"/>
    <w:uiPriority w:val="99"/>
    <w:semiHidden/>
    <w:unhideWhenUsed/>
    <w:qFormat/>
    <w:rsid w:val="00AB6715"/>
    <w:rPr>
      <w:vertAlign w:val="superscript"/>
    </w:rPr>
  </w:style>
  <w:style w:type="character" w:customStyle="1" w:styleId="ncoradanotafinal">
    <w:name w:val="Âncora da nota final"/>
    <w:rPr>
      <w:vertAlign w:val="superscript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qFormat/>
    <w:rsid w:val="00AB6715"/>
    <w:rPr>
      <w:rFonts w:ascii="Times New Roman" w:hAnsi="Times New Roman"/>
      <w:sz w:val="20"/>
      <w:szCs w:val="20"/>
    </w:rPr>
  </w:style>
  <w:style w:type="character" w:customStyle="1" w:styleId="LigaodeInternetvisitada">
    <w:name w:val="Ligação de Internet visitada"/>
    <w:basedOn w:val="Tipodeletrapredefinidodopargrafo"/>
    <w:uiPriority w:val="99"/>
    <w:semiHidden/>
    <w:unhideWhenUsed/>
    <w:rsid w:val="00AB6715"/>
    <w:rPr>
      <w:color w:val="800080" w:themeColor="followedHyperlink"/>
      <w:u w:val="single"/>
    </w:rPr>
  </w:style>
  <w:style w:type="character" w:customStyle="1" w:styleId="RodapCarter">
    <w:name w:val="Rodapé Caráter"/>
    <w:basedOn w:val="Tipodeletrapredefinidodopargrafo"/>
    <w:link w:val="Rodap"/>
    <w:uiPriority w:val="99"/>
    <w:qFormat/>
    <w:rsid w:val="00AB6715"/>
    <w:rPr>
      <w:rFonts w:ascii="Times New Roman" w:hAnsi="Times New Roman"/>
      <w:sz w:val="24"/>
    </w:rPr>
  </w:style>
  <w:style w:type="character" w:customStyle="1" w:styleId="Caracteresdanotaderodap">
    <w:name w:val="Caracteres da nota de rodapé"/>
    <w:basedOn w:val="Tipodeletrapredefinidodopargrafo"/>
    <w:uiPriority w:val="99"/>
    <w:semiHidden/>
    <w:unhideWhenUsed/>
    <w:qFormat/>
    <w:rsid w:val="00AB6715"/>
    <w:rPr>
      <w:vertAlign w:val="superscript"/>
    </w:rPr>
  </w:style>
  <w:style w:type="character" w:customStyle="1" w:styleId="ncoradanotaderodap">
    <w:name w:val="Âncora da nota de rodapé"/>
    <w:rPr>
      <w:vertAlign w:val="superscript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qFormat/>
    <w:rsid w:val="00AB6715"/>
    <w:rPr>
      <w:rFonts w:ascii="Times New Roman" w:hAnsi="Times New Roman"/>
      <w:sz w:val="20"/>
      <w:szCs w:val="20"/>
    </w:rPr>
  </w:style>
  <w:style w:type="character" w:customStyle="1" w:styleId="CabealhoCarter">
    <w:name w:val="Cabeçalho Caráter"/>
    <w:basedOn w:val="Tipodeletrapredefinidodopargrafo"/>
    <w:link w:val="Cabealho"/>
    <w:uiPriority w:val="99"/>
    <w:qFormat/>
    <w:rsid w:val="00AB6715"/>
    <w:rPr>
      <w:rFonts w:ascii="Times New Roman" w:hAnsi="Times New Roman"/>
      <w:b/>
      <w:sz w:val="24"/>
    </w:rPr>
  </w:style>
  <w:style w:type="character" w:customStyle="1" w:styleId="LigaodeInternet">
    <w:name w:val="Ligação de Internet"/>
    <w:basedOn w:val="Tipodeletrapredefinidodopargrafo"/>
    <w:uiPriority w:val="99"/>
    <w:unhideWhenUsed/>
    <w:rsid w:val="00AB6715"/>
    <w:rPr>
      <w:color w:val="0000FF"/>
      <w:u w:val="single"/>
    </w:rPr>
  </w:style>
  <w:style w:type="character" w:styleId="nfaseIntenso">
    <w:name w:val="Intense Emphasis"/>
    <w:basedOn w:val="Tipodeletrapredefinidodopargrafo"/>
    <w:uiPriority w:val="21"/>
    <w:unhideWhenUsed/>
    <w:qFormat/>
    <w:rsid w:val="00AB6715"/>
    <w:rPr>
      <w:rFonts w:ascii="Times New Roman" w:hAnsi="Times New Roman"/>
      <w:i/>
      <w:iCs/>
      <w:color w:val="auto"/>
    </w:rPr>
  </w:style>
  <w:style w:type="character" w:styleId="RefernciaIntensa">
    <w:name w:val="Intense Reference"/>
    <w:basedOn w:val="Tipodeletrapredefinidodopargrafo"/>
    <w:uiPriority w:val="32"/>
    <w:qFormat/>
    <w:rsid w:val="00AB6715"/>
    <w:rPr>
      <w:b/>
      <w:bCs/>
      <w:smallCaps/>
      <w:color w:val="auto"/>
      <w:spacing w:val="5"/>
    </w:rPr>
  </w:style>
  <w:style w:type="character" w:styleId="Nmerodelinha">
    <w:name w:val="line number"/>
    <w:basedOn w:val="Tipodeletrapredefinidodopargrafo"/>
    <w:uiPriority w:val="99"/>
    <w:semiHidden/>
    <w:unhideWhenUsed/>
    <w:qFormat/>
    <w:rsid w:val="00AB6715"/>
  </w:style>
  <w:style w:type="character" w:customStyle="1" w:styleId="Cabealho3Carter">
    <w:name w:val="Cabeçalho 3 Caráter"/>
    <w:basedOn w:val="Tipodeletrapredefinidodopargrafo"/>
    <w:link w:val="Cabealho3"/>
    <w:uiPriority w:val="2"/>
    <w:qFormat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Cabealho4Carter">
    <w:name w:val="Cabeçalho 4 Caráter"/>
    <w:basedOn w:val="Tipodeletrapredefinidodopargrafo"/>
    <w:link w:val="Cabealho4"/>
    <w:uiPriority w:val="2"/>
    <w:qFormat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Cabealho5Carter">
    <w:name w:val="Cabeçalho 5 Caráter"/>
    <w:basedOn w:val="Tipodeletrapredefinidodopargrafo"/>
    <w:link w:val="Cabealho5"/>
    <w:uiPriority w:val="2"/>
    <w:qFormat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CitaoCarter">
    <w:name w:val="Citação Caráter"/>
    <w:basedOn w:val="Tipodeletrapredefinidodopargrafo"/>
    <w:link w:val="Citao"/>
    <w:uiPriority w:val="29"/>
    <w:qFormat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Forte">
    <w:name w:val="Strong"/>
    <w:basedOn w:val="Tipodeletrapredefinidodopargrafo"/>
    <w:uiPriority w:val="22"/>
    <w:qFormat/>
    <w:rsid w:val="00AB6715"/>
    <w:rPr>
      <w:rFonts w:ascii="Times New Roman" w:hAnsi="Times New Roman"/>
      <w:b/>
      <w:bCs/>
    </w:rPr>
  </w:style>
  <w:style w:type="character" w:styleId="nfaseDiscreto">
    <w:name w:val="Subtle Emphasis"/>
    <w:basedOn w:val="Tipodeletrapredefinidodopar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character" w:customStyle="1" w:styleId="TtuloCarter">
    <w:name w:val="Título Caráter"/>
    <w:basedOn w:val="Tipodeletrapredefinidodopargrafo"/>
    <w:link w:val="Ttulo"/>
    <w:qFormat/>
    <w:rsid w:val="00AB6715"/>
    <w:rPr>
      <w:rFonts w:ascii="Times New Roman" w:hAnsi="Times New Roman" w:cs="Times New Roman"/>
      <w:b/>
      <w:sz w:val="32"/>
      <w:szCs w:val="32"/>
    </w:rPr>
  </w:style>
  <w:style w:type="character" w:customStyle="1" w:styleId="Numeraodelinhas">
    <w:name w:val="Numeração de linhas"/>
  </w:style>
  <w:style w:type="paragraph" w:styleId="Ttulo">
    <w:name w:val="Title"/>
    <w:basedOn w:val="Normal"/>
    <w:next w:val="Corpodetexto"/>
    <w:link w:val="TtuloCarte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paragraph" w:styleId="Corpodetexto">
    <w:name w:val="Body Text"/>
    <w:basedOn w:val="Normal"/>
    <w:pPr>
      <w:spacing w:before="0" w:after="140" w:line="276" w:lineRule="auto"/>
    </w:pPr>
  </w:style>
  <w:style w:type="paragraph" w:styleId="Lista">
    <w:name w:val="List"/>
    <w:basedOn w:val="Corpodetexto"/>
    <w:rPr>
      <w:rFonts w:cs="Lohit Devanagari"/>
    </w:rPr>
  </w:style>
  <w:style w:type="paragraph" w:styleId="Legenda">
    <w:name w:val="caption"/>
    <w:basedOn w:val="Normal"/>
    <w:next w:val="SemEspaamento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Subttulo">
    <w:name w:val="Subtitle"/>
    <w:basedOn w:val="Normal"/>
    <w:next w:val="Normal"/>
    <w:link w:val="SubttuloCarte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paragraph" w:customStyle="1" w:styleId="AuthorList">
    <w:name w:val="Author List"/>
    <w:basedOn w:val="Subttulo"/>
    <w:next w:val="Normal"/>
    <w:uiPriority w:val="1"/>
    <w:qFormat/>
    <w:rsid w:val="00AB6715"/>
  </w:style>
  <w:style w:type="paragraph" w:styleId="Textodebalo">
    <w:name w:val="Balloon Text"/>
    <w:basedOn w:val="Normal"/>
    <w:link w:val="TextodebaloCarter"/>
    <w:uiPriority w:val="99"/>
    <w:semiHidden/>
    <w:unhideWhenUsed/>
    <w:qFormat/>
    <w:rsid w:val="00AB6715"/>
    <w:pPr>
      <w:spacing w:after="0"/>
    </w:pPr>
    <w:rPr>
      <w:rFonts w:ascii="Tahoma" w:hAnsi="Tahoma" w:cs="Tahoma"/>
      <w:sz w:val="16"/>
      <w:szCs w:val="16"/>
    </w:rPr>
  </w:style>
  <w:style w:type="paragraph" w:styleId="SemEspaamento">
    <w:name w:val="No Spacing"/>
    <w:uiPriority w:val="99"/>
    <w:unhideWhenUsed/>
    <w:qFormat/>
    <w:rsid w:val="00AB6715"/>
    <w:rPr>
      <w:rFonts w:ascii="Times New Roman" w:hAnsi="Times New Roman"/>
      <w:sz w:val="24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qFormat/>
    <w:rsid w:val="00AB6715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qFormat/>
    <w:rsid w:val="00AB6715"/>
    <w:rPr>
      <w:b/>
      <w:bCs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AB6715"/>
    <w:pPr>
      <w:spacing w:after="0"/>
    </w:pPr>
    <w:rPr>
      <w:sz w:val="20"/>
      <w:szCs w:val="20"/>
    </w:rPr>
  </w:style>
  <w:style w:type="paragraph" w:customStyle="1" w:styleId="Cabealhoerodap">
    <w:name w:val="Cabeçalho e rodapé"/>
    <w:basedOn w:val="Normal"/>
    <w:qFormat/>
  </w:style>
  <w:style w:type="paragraph" w:styleId="Rodap">
    <w:name w:val="footer"/>
    <w:basedOn w:val="Normal"/>
    <w:link w:val="RodapCarte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AB6715"/>
    <w:pPr>
      <w:spacing w:after="0"/>
    </w:pPr>
    <w:rPr>
      <w:sz w:val="20"/>
      <w:szCs w:val="20"/>
    </w:rPr>
  </w:style>
  <w:style w:type="paragraph" w:styleId="Cabealho">
    <w:name w:val="header"/>
    <w:basedOn w:val="Normal"/>
    <w:link w:val="CabealhoCarte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paragraph" w:styleId="PargrafodaLista">
    <w:name w:val="List Paragraph"/>
    <w:basedOn w:val="Normal"/>
    <w:uiPriority w:val="3"/>
    <w:qFormat/>
    <w:rsid w:val="00AB6715"/>
    <w:pPr>
      <w:numPr>
        <w:numId w:val="1"/>
      </w:numPr>
      <w:contextualSpacing/>
    </w:pPr>
    <w:rPr>
      <w:rFonts w:eastAsia="Cambria" w:cs="Times New Roman"/>
      <w:szCs w:val="24"/>
    </w:rPr>
  </w:style>
  <w:style w:type="paragraph" w:styleId="NormalWeb">
    <w:name w:val="Normal (Web)"/>
    <w:basedOn w:val="Normal"/>
    <w:uiPriority w:val="99"/>
    <w:unhideWhenUsed/>
    <w:qFormat/>
    <w:rsid w:val="00AB6715"/>
    <w:pPr>
      <w:spacing w:beforeAutospacing="1" w:afterAutospacing="1"/>
    </w:pPr>
    <w:rPr>
      <w:rFonts w:eastAsia="Times New Roman" w:cs="Times New Roman"/>
      <w:szCs w:val="24"/>
    </w:rPr>
  </w:style>
  <w:style w:type="paragraph" w:styleId="Citao">
    <w:name w:val="Quote"/>
    <w:basedOn w:val="Normal"/>
    <w:next w:val="Normal"/>
    <w:link w:val="CitaoCarte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paragraph" w:customStyle="1" w:styleId="SupplementaryMaterial">
    <w:name w:val="Supplementary Material"/>
    <w:basedOn w:val="Ttulo"/>
    <w:next w:val="Ttulo"/>
    <w:qFormat/>
    <w:rsid w:val="0001436A"/>
    <w:pPr>
      <w:spacing w:after="120"/>
    </w:pPr>
    <w:rPr>
      <w:i/>
    </w:rPr>
  </w:style>
  <w:style w:type="paragraph" w:customStyle="1" w:styleId="Cabealho11">
    <w:name w:val="Cabeçalho 11"/>
    <w:basedOn w:val="Normal"/>
    <w:next w:val="Normal"/>
    <w:qFormat/>
    <w:rsid w:val="00863C39"/>
    <w:pPr>
      <w:keepNext/>
      <w:widowControl w:val="0"/>
      <w:tabs>
        <w:tab w:val="left" w:pos="0"/>
      </w:tabs>
      <w:spacing w:before="240" w:after="120" w:line="360" w:lineRule="auto"/>
      <w:jc w:val="both"/>
      <w:outlineLvl w:val="0"/>
    </w:pPr>
    <w:rPr>
      <w:rFonts w:eastAsia="MS Mincho" w:cs="Times New Roman"/>
      <w:b/>
      <w:bCs/>
      <w:sz w:val="35"/>
      <w:szCs w:val="32"/>
      <w:lang w:eastAsia="pt-PT"/>
    </w:rPr>
  </w:style>
  <w:style w:type="paragraph" w:styleId="Bibliografia">
    <w:name w:val="Bibliography"/>
    <w:basedOn w:val="Normal"/>
    <w:next w:val="Normal"/>
    <w:uiPriority w:val="37"/>
    <w:unhideWhenUsed/>
    <w:qFormat/>
    <w:rsid w:val="00AC1A19"/>
  </w:style>
  <w:style w:type="paragraph" w:customStyle="1" w:styleId="Contedodamoldura">
    <w:name w:val="Conteúdo da moldura"/>
    <w:basedOn w:val="Normal"/>
    <w:qFormat/>
  </w:style>
  <w:style w:type="paragraph" w:customStyle="1" w:styleId="Cabealhoesquerda">
    <w:name w:val="Cabeçalho à esquerda"/>
    <w:basedOn w:val="Cabealho"/>
    <w:qFormat/>
  </w:style>
  <w:style w:type="paragraph" w:customStyle="1" w:styleId="Contedodatabela">
    <w:name w:val="Conteúdo da tabela"/>
    <w:basedOn w:val="Normal"/>
    <w:qFormat/>
    <w:pPr>
      <w:widowControl w:val="0"/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numbering" w:customStyle="1" w:styleId="Headings">
    <w:name w:val="Headings"/>
    <w:uiPriority w:val="99"/>
    <w:qFormat/>
    <w:rsid w:val="00AB6715"/>
  </w:style>
  <w:style w:type="table" w:styleId="Tabelacomgrelha">
    <w:name w:val="Table Grid"/>
    <w:basedOn w:val="Tabelanormal"/>
    <w:uiPriority w:val="59"/>
    <w:rsid w:val="00AB6715"/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elha1">
    <w:name w:val="Tabela com grelha1"/>
    <w:basedOn w:val="Tabelanormal"/>
    <w:uiPriority w:val="39"/>
    <w:rsid w:val="00863C39"/>
    <w:rPr>
      <w:sz w:val="20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image" Target="media/image3.tif"/><Relationship Id="rId26" Type="http://schemas.openxmlformats.org/officeDocument/2006/relationships/hyperlink" Target="http://dx.doi.org/10.1016/0034-6667(95)00048-0" TargetMode="External"/><Relationship Id="rId3" Type="http://schemas.openxmlformats.org/officeDocument/2006/relationships/styles" Target="styles.xml"/><Relationship Id="rId21" Type="http://schemas.openxmlformats.org/officeDocument/2006/relationships/image" Target="media/image6.tiff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image" Target="media/image2.tif"/><Relationship Id="rId25" Type="http://schemas.openxmlformats.org/officeDocument/2006/relationships/image" Target="media/image10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image" Target="media/image5.tiff"/><Relationship Id="rId29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image" Target="media/image9.png"/><Relationship Id="rId32" Type="http://schemas.openxmlformats.org/officeDocument/2006/relationships/footer" Target="footer8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image" Target="media/image8.png"/><Relationship Id="rId28" Type="http://schemas.openxmlformats.org/officeDocument/2006/relationships/header" Target="header6.xml"/><Relationship Id="rId10" Type="http://schemas.openxmlformats.org/officeDocument/2006/relationships/footer" Target="footer2.xml"/><Relationship Id="rId19" Type="http://schemas.openxmlformats.org/officeDocument/2006/relationships/image" Target="media/image4.tiff"/><Relationship Id="rId31" Type="http://schemas.openxmlformats.org/officeDocument/2006/relationships/header" Target="header7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image" Target="media/image7.png"/><Relationship Id="rId27" Type="http://schemas.openxmlformats.org/officeDocument/2006/relationships/header" Target="header5.xml"/><Relationship Id="rId30" Type="http://schemas.openxmlformats.org/officeDocument/2006/relationships/footer" Target="footer7.xml"/><Relationship Id="rId8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EBAE643-8CBF-4C79-B311-6C32C7AFF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7765</Words>
  <Characters>44261</Characters>
  <Application>Microsoft Office Word</Application>
  <DocSecurity>0</DocSecurity>
  <Lines>368</Lines>
  <Paragraphs>103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Frontiers Media SA</dc:creator>
  <dc:description/>
  <cp:lastModifiedBy>Reviewer</cp:lastModifiedBy>
  <cp:revision>2</cp:revision>
  <cp:lastPrinted>2013-10-03T12:51:00Z</cp:lastPrinted>
  <dcterms:created xsi:type="dcterms:W3CDTF">2023-03-22T10:53:00Z</dcterms:created>
  <dcterms:modified xsi:type="dcterms:W3CDTF">2023-03-22T10:53:00Z</dcterms:modified>
  <dc:language>pt-PT</dc:language>
</cp:coreProperties>
</file>